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36" w:rsidRDefault="006A5668" w:rsidP="006A5668">
      <w:pPr>
        <w:ind w:left="5664" w:firstLine="708"/>
      </w:pPr>
      <w:r>
        <w:rPr>
          <w:noProof/>
          <w:lang w:eastAsia="nl-NL"/>
        </w:rPr>
        <w:drawing>
          <wp:inline distT="0" distB="0" distL="0" distR="0">
            <wp:extent cx="988758" cy="555625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_logo_nieuw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90" cy="56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68" w:rsidRDefault="006A5668" w:rsidP="006A5668">
      <w:pPr>
        <w:spacing w:line="276" w:lineRule="auto"/>
        <w:rPr>
          <w:b/>
          <w:sz w:val="36"/>
          <w:szCs w:val="36"/>
        </w:rPr>
      </w:pPr>
      <w:r w:rsidRPr="006A5668">
        <w:rPr>
          <w:b/>
          <w:sz w:val="36"/>
          <w:szCs w:val="36"/>
        </w:rPr>
        <w:t>Motie aanscherping plandrempel Actieplan Geluid</w:t>
      </w:r>
    </w:p>
    <w:p w:rsidR="006A5668" w:rsidRDefault="006A5668" w:rsidP="006A56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Provinciale Staten van Noord-Brabant, in vergadering bijeen op </w:t>
      </w:r>
      <w:r w:rsidR="00F66704">
        <w:rPr>
          <w:sz w:val="24"/>
          <w:szCs w:val="24"/>
        </w:rPr>
        <w:t>11</w:t>
      </w:r>
      <w:r>
        <w:rPr>
          <w:sz w:val="24"/>
          <w:szCs w:val="24"/>
        </w:rPr>
        <w:t xml:space="preserve"> November 2016, </w:t>
      </w:r>
    </w:p>
    <w:p w:rsidR="006A5668" w:rsidRDefault="006A5668" w:rsidP="006A56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Behandelend Statenvoorstel …… Begroting 2017 …</w:t>
      </w:r>
    </w:p>
    <w:p w:rsidR="006A5668" w:rsidRDefault="006A5668" w:rsidP="006A56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Constaterende dat</w:t>
      </w:r>
    </w:p>
    <w:p w:rsidR="006A5668" w:rsidRDefault="006A5668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6A5668">
        <w:rPr>
          <w:rFonts w:cstheme="minorHAnsi"/>
          <w:sz w:val="24"/>
          <w:szCs w:val="24"/>
        </w:rPr>
        <w:t xml:space="preserve">Voor provinciale wegen momenteel het </w:t>
      </w:r>
      <w:r w:rsidRPr="006A5668">
        <w:rPr>
          <w:rFonts w:cstheme="minorHAnsi"/>
          <w:b/>
          <w:bCs/>
          <w:sz w:val="24"/>
          <w:szCs w:val="24"/>
        </w:rPr>
        <w:t>Actieplan 2e tranche 2013-2018 Richtlijn Omgevingslawaai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A5668">
        <w:rPr>
          <w:rFonts w:cstheme="minorHAnsi"/>
          <w:bCs/>
          <w:sz w:val="24"/>
          <w:szCs w:val="24"/>
        </w:rPr>
        <w:t>van kracht is</w:t>
      </w:r>
      <w:r>
        <w:rPr>
          <w:rFonts w:cstheme="minorHAnsi"/>
          <w:bCs/>
          <w:sz w:val="24"/>
          <w:szCs w:val="24"/>
        </w:rPr>
        <w:t xml:space="preserve">, conform </w:t>
      </w:r>
      <w:r w:rsidRPr="006A5668">
        <w:rPr>
          <w:rFonts w:cstheme="minorHAnsi"/>
          <w:bCs/>
          <w:sz w:val="24"/>
          <w:szCs w:val="24"/>
        </w:rPr>
        <w:t xml:space="preserve">nr. 2002/49/EG </w:t>
      </w:r>
    </w:p>
    <w:p w:rsidR="006A5668" w:rsidRDefault="00847421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 voorbereidingen voor de 3</w:t>
      </w:r>
      <w:r w:rsidRPr="00847421">
        <w:rPr>
          <w:rFonts w:cstheme="minorHAnsi"/>
          <w:bCs/>
          <w:sz w:val="24"/>
          <w:szCs w:val="24"/>
          <w:vertAlign w:val="superscript"/>
        </w:rPr>
        <w:t>de</w:t>
      </w:r>
      <w:r>
        <w:rPr>
          <w:rFonts w:cstheme="minorHAnsi"/>
          <w:bCs/>
          <w:sz w:val="24"/>
          <w:szCs w:val="24"/>
        </w:rPr>
        <w:t xml:space="preserve"> tranche 2018-2023 binnenkort beginnen of al begonnen zijn</w:t>
      </w:r>
    </w:p>
    <w:p w:rsidR="00847421" w:rsidRDefault="00847421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GS in het lopende Actieplan na afweging van kosten en baten een plandrempel hebben opgenomen van 65dB (</w:t>
      </w:r>
      <w:proofErr w:type="spellStart"/>
      <w:r>
        <w:rPr>
          <w:rFonts w:cstheme="minorHAnsi"/>
          <w:bCs/>
          <w:sz w:val="24"/>
          <w:szCs w:val="24"/>
        </w:rPr>
        <w:t>Lden</w:t>
      </w:r>
      <w:proofErr w:type="spellEnd"/>
      <w:r>
        <w:rPr>
          <w:rFonts w:cstheme="minorHAnsi"/>
          <w:bCs/>
          <w:sz w:val="24"/>
          <w:szCs w:val="24"/>
        </w:rPr>
        <w:t>), zijnde de hoogste geluidsbelasting aan de gevel van woningen die toegestaan wordt</w:t>
      </w:r>
    </w:p>
    <w:p w:rsidR="00847421" w:rsidRDefault="00847421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 Wet Geluidhinder (in art. 83) normaliter voor nieuwe woningen bij bestaande wegen of nieuwe wegen bij bestaande woningen slechts ontheffing tot 63dB toestaat in stedelijk gebied en 58dB in </w:t>
      </w:r>
      <w:proofErr w:type="spellStart"/>
      <w:r>
        <w:rPr>
          <w:rFonts w:cstheme="minorHAnsi"/>
          <w:bCs/>
          <w:sz w:val="24"/>
          <w:szCs w:val="24"/>
        </w:rPr>
        <w:t>buitenstedelijk</w:t>
      </w:r>
      <w:proofErr w:type="spellEnd"/>
      <w:r>
        <w:rPr>
          <w:rFonts w:cstheme="minorHAnsi"/>
          <w:bCs/>
          <w:sz w:val="24"/>
          <w:szCs w:val="24"/>
        </w:rPr>
        <w:t xml:space="preserve"> gebied</w:t>
      </w:r>
    </w:p>
    <w:p w:rsidR="00847421" w:rsidRDefault="00847421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Deze wet slechts voor kleinschalige vervangende nieuwbouw in reeds zeer zwaar </w:t>
      </w:r>
      <w:proofErr w:type="spellStart"/>
      <w:r>
        <w:rPr>
          <w:rFonts w:cstheme="minorHAnsi"/>
          <w:bCs/>
          <w:sz w:val="24"/>
          <w:szCs w:val="24"/>
        </w:rPr>
        <w:t>geluidsbelaste</w:t>
      </w:r>
      <w:proofErr w:type="spellEnd"/>
      <w:r>
        <w:rPr>
          <w:rFonts w:cstheme="minorHAnsi"/>
          <w:bCs/>
          <w:sz w:val="24"/>
          <w:szCs w:val="24"/>
        </w:rPr>
        <w:t xml:space="preserve"> bestaande woonwijken in stedelijk gebied ontheffing tot 68dB toestaat</w:t>
      </w:r>
    </w:p>
    <w:p w:rsidR="00847421" w:rsidRDefault="00847421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Tenzij deze situatie zich voordoet in de zone langs auto(snel)wegen, waar ontheffing tot 63dB wordt toegestaan</w:t>
      </w:r>
    </w:p>
    <w:p w:rsidR="00DF0E2A" w:rsidRDefault="00DF0E2A" w:rsidP="006A566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Tenzij deze situatie zich voordoet in </w:t>
      </w:r>
      <w:proofErr w:type="spellStart"/>
      <w:r>
        <w:rPr>
          <w:rFonts w:cstheme="minorHAnsi"/>
          <w:bCs/>
          <w:sz w:val="24"/>
          <w:szCs w:val="24"/>
        </w:rPr>
        <w:t>buitenstedelijk</w:t>
      </w:r>
      <w:proofErr w:type="spellEnd"/>
      <w:r>
        <w:rPr>
          <w:rFonts w:cstheme="minorHAnsi"/>
          <w:bCs/>
          <w:sz w:val="24"/>
          <w:szCs w:val="24"/>
        </w:rPr>
        <w:t xml:space="preserve"> gebied, waar ontheffing tot 58dB wordt toegestaan</w:t>
      </w:r>
    </w:p>
    <w:p w:rsidR="00DF0E2A" w:rsidRDefault="00DF0E2A" w:rsidP="00DF0E2A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DF0E2A" w:rsidRDefault="00DF0E2A" w:rsidP="00DF0E2A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Overwegende dat</w:t>
      </w:r>
    </w:p>
    <w:p w:rsidR="006A5668" w:rsidRDefault="00DF0E2A" w:rsidP="006A566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Overdadig geluid de leefbaarheid van woongebieden ernstig aantast en zelfs tot ernstige nadelige medische effecten kan leiden</w:t>
      </w:r>
    </w:p>
    <w:p w:rsidR="00DF0E2A" w:rsidRDefault="00DF0E2A" w:rsidP="006A566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 Wet Geluidhinder slechts bij hoge uitzondering, in zeer specifieke situaties, ontheffing boven de 63dB toestaat</w:t>
      </w:r>
    </w:p>
    <w:p w:rsidR="00DF0E2A" w:rsidRDefault="00DF0E2A" w:rsidP="006A566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 geest van de wet niet verder telt dan 63 </w:t>
      </w:r>
      <w:proofErr w:type="spellStart"/>
      <w:r>
        <w:rPr>
          <w:rFonts w:cstheme="minorHAnsi"/>
          <w:bCs/>
          <w:sz w:val="24"/>
          <w:szCs w:val="24"/>
        </w:rPr>
        <w:t>resp</w:t>
      </w:r>
      <w:proofErr w:type="spellEnd"/>
      <w:r>
        <w:rPr>
          <w:rFonts w:cstheme="minorHAnsi"/>
          <w:bCs/>
          <w:sz w:val="24"/>
          <w:szCs w:val="24"/>
        </w:rPr>
        <w:t xml:space="preserve"> 58dB</w:t>
      </w:r>
    </w:p>
    <w:p w:rsidR="00DF0E2A" w:rsidRDefault="00DF0E2A" w:rsidP="00DF0E2A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DF0E2A" w:rsidRDefault="00DF0E2A" w:rsidP="00DF0E2A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Dragen Gedeputeerde Staten op </w:t>
      </w:r>
    </w:p>
    <w:p w:rsidR="00DF0E2A" w:rsidRDefault="002748F8" w:rsidP="00DF0E2A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 w:rsidRPr="002748F8">
        <w:rPr>
          <w:rFonts w:cstheme="minorHAnsi"/>
          <w:bCs/>
          <w:sz w:val="24"/>
          <w:szCs w:val="24"/>
        </w:rPr>
        <w:t xml:space="preserve">In principe het Actieplan 2018-2023 op een plandrempel te baseren van 63dB in stedelijk gebied, en 58dB in </w:t>
      </w:r>
      <w:proofErr w:type="spellStart"/>
      <w:r w:rsidRPr="002748F8">
        <w:rPr>
          <w:rFonts w:cstheme="minorHAnsi"/>
          <w:bCs/>
          <w:sz w:val="24"/>
          <w:szCs w:val="24"/>
        </w:rPr>
        <w:t>buitenstedelijk</w:t>
      </w:r>
      <w:proofErr w:type="spellEnd"/>
      <w:r w:rsidRPr="002748F8">
        <w:rPr>
          <w:rFonts w:cstheme="minorHAnsi"/>
          <w:bCs/>
          <w:sz w:val="24"/>
          <w:szCs w:val="24"/>
        </w:rPr>
        <w:t xml:space="preserve"> gebied 58dB</w:t>
      </w:r>
    </w:p>
    <w:p w:rsidR="002748F8" w:rsidRDefault="002748F8" w:rsidP="00DF0E2A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 kaart te brengen wat de meerkosten zijn ten opzichte van de situatie dat voor de oude plandrempel van 65dB gekozen was</w:t>
      </w:r>
    </w:p>
    <w:p w:rsidR="002748F8" w:rsidRDefault="002748F8" w:rsidP="00DF0E2A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Om deze informatie aan Provinciale Staten te presenteren, zodat deze informatie meegenomen kan worden in de uiteindelijke besluitvorming</w:t>
      </w:r>
    </w:p>
    <w:p w:rsidR="002748F8" w:rsidRDefault="002748F8" w:rsidP="002748F8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2748F8" w:rsidRDefault="002748F8" w:rsidP="002748F8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En gaan over tot de orde van de dag.</w:t>
      </w:r>
    </w:p>
    <w:p w:rsidR="002748F8" w:rsidRDefault="002748F8" w:rsidP="002748F8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:rsidR="008B28A9" w:rsidRDefault="002748F8" w:rsidP="002748F8">
      <w:pPr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Willemieke</w:t>
      </w:r>
      <w:proofErr w:type="spellEnd"/>
      <w:r>
        <w:rPr>
          <w:rFonts w:cstheme="minorHAnsi"/>
          <w:bCs/>
          <w:sz w:val="24"/>
          <w:szCs w:val="24"/>
        </w:rPr>
        <w:t xml:space="preserve"> Arts (SP)</w:t>
      </w:r>
    </w:p>
    <w:p w:rsidR="002748F8" w:rsidRPr="006A5DF5" w:rsidRDefault="008B28A9" w:rsidP="006A5DF5">
      <w:pPr>
        <w:spacing w:line="276" w:lineRule="auto"/>
        <w:rPr>
          <w:rFonts w:cstheme="minorHAnsi"/>
          <w:bCs/>
        </w:rPr>
      </w:pPr>
      <w:r>
        <w:rPr>
          <w:rFonts w:cstheme="minorHAnsi"/>
          <w:bCs/>
          <w:sz w:val="24"/>
          <w:szCs w:val="24"/>
        </w:rPr>
        <w:br w:type="page"/>
      </w:r>
      <w:r w:rsidRPr="006A5DF5">
        <w:rPr>
          <w:rFonts w:cstheme="minorHAnsi"/>
          <w:bCs/>
        </w:rPr>
        <w:lastRenderedPageBreak/>
        <w:t>Aanvullend materiaal, slechts bedoeld voor mondeling gebruik:</w:t>
      </w:r>
    </w:p>
    <w:p w:rsidR="00162249" w:rsidRPr="006A5DF5" w:rsidRDefault="00162249" w:rsidP="006A5DF5">
      <w:pPr>
        <w:spacing w:line="276" w:lineRule="auto"/>
        <w:rPr>
          <w:rFonts w:cstheme="minorHAnsi"/>
          <w:bCs/>
        </w:rPr>
      </w:pPr>
      <w:r w:rsidRPr="006A5DF5">
        <w:rPr>
          <w:rFonts w:cstheme="minorHAnsi"/>
          <w:bCs/>
        </w:rPr>
        <w:t xml:space="preserve">De EU heeft een richtlijn uitgevaardigd </w:t>
      </w:r>
      <w:proofErr w:type="spellStart"/>
      <w:r w:rsidRPr="006A5DF5">
        <w:rPr>
          <w:rFonts w:cstheme="minorHAnsi"/>
          <w:bCs/>
        </w:rPr>
        <w:t>mbt</w:t>
      </w:r>
      <w:proofErr w:type="spellEnd"/>
      <w:r w:rsidRPr="006A5DF5">
        <w:rPr>
          <w:rFonts w:cstheme="minorHAnsi"/>
          <w:bCs/>
        </w:rPr>
        <w:t xml:space="preserve"> omgevingslawaai. Deze is door de lidstaten, in </w:t>
      </w:r>
      <w:proofErr w:type="spellStart"/>
      <w:r w:rsidRPr="006A5DF5">
        <w:rPr>
          <w:rFonts w:cstheme="minorHAnsi"/>
          <w:bCs/>
        </w:rPr>
        <w:t>casu</w:t>
      </w:r>
      <w:proofErr w:type="spellEnd"/>
      <w:r w:rsidRPr="006A5DF5">
        <w:rPr>
          <w:rFonts w:cstheme="minorHAnsi"/>
          <w:bCs/>
        </w:rPr>
        <w:t xml:space="preserve"> Nederland, tot beleid omgebouwd. Dit is overigens een goed initiatief van de EU.</w:t>
      </w:r>
    </w:p>
    <w:p w:rsidR="00162249" w:rsidRPr="006A5DF5" w:rsidRDefault="00162249" w:rsidP="006A5DF5">
      <w:pPr>
        <w:spacing w:line="276" w:lineRule="auto"/>
        <w:rPr>
          <w:rFonts w:cstheme="minorHAnsi"/>
          <w:bCs/>
        </w:rPr>
      </w:pPr>
      <w:r w:rsidRPr="006A5DF5">
        <w:rPr>
          <w:rFonts w:cstheme="minorHAnsi"/>
          <w:bCs/>
        </w:rPr>
        <w:t xml:space="preserve">Uit richtlijn en beleid vloeit voort dat een aantal instanties Actieplannen Omgevingslawaai moeten maken. Het betreft in Brabant </w:t>
      </w:r>
      <w:proofErr w:type="spellStart"/>
      <w:r w:rsidRPr="006A5DF5">
        <w:rPr>
          <w:rFonts w:cstheme="minorHAnsi"/>
          <w:bCs/>
        </w:rPr>
        <w:t>Prorail</w:t>
      </w:r>
      <w:proofErr w:type="spellEnd"/>
      <w:r w:rsidRPr="006A5DF5">
        <w:rPr>
          <w:rFonts w:cstheme="minorHAnsi"/>
          <w:bCs/>
        </w:rPr>
        <w:t>, Rijkswaterstaat (voor de rijkswegen), de provincie (voor de provinciale wegen), de agglomeratie Eindhoven, en de andere grote gemeenten.</w:t>
      </w:r>
      <w:r w:rsidRPr="006A5DF5">
        <w:rPr>
          <w:rFonts w:cstheme="minorHAnsi"/>
          <w:bCs/>
        </w:rPr>
        <w:br/>
        <w:t>Elke vijf jaar moet een nieuw actieplan worden vastgesteld. In 2018 gaat het derde plan van start.</w:t>
      </w:r>
    </w:p>
    <w:p w:rsidR="00162249" w:rsidRPr="006A5DF5" w:rsidRDefault="00162249" w:rsidP="006A5DF5">
      <w:pPr>
        <w:spacing w:line="276" w:lineRule="auto"/>
        <w:rPr>
          <w:rFonts w:cstheme="minorHAnsi"/>
          <w:bCs/>
        </w:rPr>
      </w:pPr>
      <w:r w:rsidRPr="006A5DF5">
        <w:rPr>
          <w:rFonts w:cstheme="minorHAnsi"/>
          <w:bCs/>
        </w:rPr>
        <w:t xml:space="preserve">De auteur van het plan (in </w:t>
      </w:r>
      <w:proofErr w:type="spellStart"/>
      <w:r w:rsidRPr="006A5DF5">
        <w:rPr>
          <w:rFonts w:cstheme="minorHAnsi"/>
          <w:bCs/>
        </w:rPr>
        <w:t>casu</w:t>
      </w:r>
      <w:proofErr w:type="spellEnd"/>
      <w:r w:rsidRPr="006A5DF5">
        <w:rPr>
          <w:rFonts w:cstheme="minorHAnsi"/>
          <w:bCs/>
        </w:rPr>
        <w:t xml:space="preserve"> de provincie) heeft hierbij een zekere beleidsvrijheid, die met name tot uiting komt in de keuze van de plandrempel. In den lande komt men plandrempels tegen van 53 tot 70dB. </w:t>
      </w:r>
      <w:r w:rsidRPr="006A5DF5">
        <w:rPr>
          <w:rFonts w:cstheme="minorHAnsi"/>
          <w:bCs/>
        </w:rPr>
        <w:br/>
        <w:t>Hoe lager de plandrempel, hoe tevredener de bevolking, maar hoe meer problemen er uiteraard moeten worden opgelost.</w:t>
      </w:r>
    </w:p>
    <w:p w:rsidR="00162249" w:rsidRPr="006A5DF5" w:rsidRDefault="00162249" w:rsidP="006A5DF5">
      <w:pPr>
        <w:spacing w:line="276" w:lineRule="auto"/>
        <w:rPr>
          <w:rFonts w:cstheme="minorHAnsi"/>
          <w:bCs/>
        </w:rPr>
      </w:pPr>
      <w:bookmarkStart w:id="0" w:name="_GoBack"/>
      <w:r w:rsidRPr="006A5DF5">
        <w:rPr>
          <w:rFonts w:cstheme="minorHAnsi"/>
          <w:bCs/>
        </w:rPr>
        <w:t>Voor de bevolking maakt het uit.</w:t>
      </w:r>
      <w:r w:rsidRPr="006A5DF5">
        <w:rPr>
          <w:rFonts w:cstheme="minorHAnsi"/>
          <w:bCs/>
        </w:rPr>
        <w:br/>
      </w:r>
      <w:bookmarkEnd w:id="0"/>
      <w:r w:rsidRPr="006A5DF5">
        <w:rPr>
          <w:rFonts w:cstheme="minorHAnsi"/>
          <w:bCs/>
        </w:rPr>
        <w:t xml:space="preserve">Geluidhinder wordt uiteenlopend beleefd. Waar de een niks van merkt, wordt de ander gek. Daarom wordt het effect in hinder% en ernstige hinder%  weergegeven. </w:t>
      </w:r>
      <w:r w:rsidRPr="006A5DF5">
        <w:rPr>
          <w:rFonts w:cstheme="minorHAnsi"/>
          <w:bCs/>
        </w:rPr>
        <w:br/>
        <w:t>Voor provinciale en gemeentelijke wegen geldt (tot nu toe) de Wet Geluidhinder. Bij die wet hoort een Regeling</w:t>
      </w:r>
      <w:r w:rsidR="00C87AE9" w:rsidRPr="006A5DF5">
        <w:rPr>
          <w:rFonts w:cstheme="minorHAnsi"/>
          <w:bCs/>
        </w:rPr>
        <w:t xml:space="preserve"> (12 juni 2012) met een </w:t>
      </w:r>
      <w:proofErr w:type="spellStart"/>
      <w:r w:rsidR="00C87AE9" w:rsidRPr="006A5DF5">
        <w:rPr>
          <w:rFonts w:cstheme="minorHAnsi"/>
          <w:bCs/>
        </w:rPr>
        <w:t>officiele</w:t>
      </w:r>
      <w:proofErr w:type="spellEnd"/>
      <w:r w:rsidR="00C87AE9" w:rsidRPr="006A5DF5">
        <w:rPr>
          <w:rFonts w:cstheme="minorHAnsi"/>
          <w:bCs/>
        </w:rPr>
        <w:t xml:space="preserve"> dosis-effectrelatie voor wegverkeer</w:t>
      </w:r>
    </w:p>
    <w:p w:rsidR="00C87AE9" w:rsidRPr="00C87AE9" w:rsidRDefault="00C87AE9" w:rsidP="006A5DF5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lang w:eastAsia="nl-NL"/>
        </w:rPr>
      </w:pPr>
      <w:r w:rsidRPr="00C87AE9">
        <w:rPr>
          <w:rFonts w:ascii="Times New Roman" w:eastAsia="Times New Roman" w:hAnsi="Times New Roman" w:cs="Times New Roman"/>
          <w:b/>
          <w:bCs/>
          <w:lang w:eastAsia="nl-NL"/>
        </w:rPr>
        <w:t>Dosis-effectrelaties voor verkeerslawaai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"/>
      </w:tblPr>
      <w:tblGrid>
        <w:gridCol w:w="2724"/>
        <w:gridCol w:w="2970"/>
        <w:gridCol w:w="3660"/>
      </w:tblGrid>
      <w:tr w:rsidR="00C87AE9" w:rsidRPr="00C87AE9" w:rsidTr="00C87AE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Geluidsbelastingklasse (</w:t>
            </w:r>
            <w:proofErr w:type="spellStart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</w:t>
            </w:r>
            <w:r w:rsidRPr="00C87AE9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nl-NL"/>
              </w:rPr>
              <w:t>den</w:t>
            </w:r>
            <w:proofErr w:type="spellEnd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proofErr w:type="spellStart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Gehinderden</w:t>
            </w:r>
            <w:proofErr w:type="spellEnd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per 100 bewoners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Ernstig </w:t>
            </w:r>
            <w:proofErr w:type="spellStart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gehinderden</w:t>
            </w:r>
            <w:proofErr w:type="spellEnd"/>
            <w:r w:rsidRPr="00C87AE9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per 100 bewoners</w:t>
            </w:r>
          </w:p>
        </w:tc>
      </w:tr>
      <w:tr w:rsidR="00C87AE9" w:rsidRPr="00C87AE9" w:rsidTr="00C87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55–59 dB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8 </w:t>
            </w:r>
          </w:p>
        </w:tc>
      </w:tr>
      <w:tr w:rsidR="00C87AE9" w:rsidRPr="00C87AE9" w:rsidTr="00C87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60–64 dB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13 </w:t>
            </w:r>
          </w:p>
        </w:tc>
      </w:tr>
      <w:tr w:rsidR="00C87AE9" w:rsidRPr="00C87AE9" w:rsidTr="00C87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65–69 dB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20 </w:t>
            </w:r>
          </w:p>
        </w:tc>
      </w:tr>
      <w:tr w:rsidR="00C87AE9" w:rsidRPr="00C87AE9" w:rsidTr="00C87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70–74 dB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30 </w:t>
            </w:r>
          </w:p>
        </w:tc>
      </w:tr>
      <w:tr w:rsidR="00C87AE9" w:rsidRPr="00C87AE9" w:rsidTr="00C87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75 dB of hoger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C87AE9" w:rsidRPr="00C87AE9" w:rsidRDefault="00C87AE9" w:rsidP="006A5DF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C87AE9">
              <w:rPr>
                <w:rFonts w:ascii="Times New Roman" w:eastAsia="Times New Roman" w:hAnsi="Times New Roman" w:cs="Times New Roman"/>
                <w:lang w:eastAsia="nl-NL"/>
              </w:rPr>
              <w:t xml:space="preserve">37 </w:t>
            </w:r>
          </w:p>
        </w:tc>
      </w:tr>
    </w:tbl>
    <w:p w:rsidR="00C87AE9" w:rsidRPr="006A5DF5" w:rsidRDefault="00C87AE9" w:rsidP="006A5DF5">
      <w:pPr>
        <w:spacing w:line="276" w:lineRule="auto"/>
        <w:rPr>
          <w:rFonts w:cstheme="minorHAnsi"/>
          <w:bCs/>
        </w:rPr>
      </w:pPr>
      <w:r w:rsidRPr="006A5DF5">
        <w:rPr>
          <w:rFonts w:cstheme="minorHAnsi"/>
          <w:bCs/>
        </w:rPr>
        <w:t>Ter hoogte van de plandrempel zijn die dus fors.</w:t>
      </w:r>
      <w:r w:rsidRPr="006A5DF5">
        <w:rPr>
          <w:rFonts w:cstheme="minorHAnsi"/>
          <w:bCs/>
        </w:rPr>
        <w:br/>
        <w:t xml:space="preserve">Ernstige hinder vertaalt zich via het stressmechanisme als een aanslag op hart en bloedvaten bij daarvoor vatbare personen. </w:t>
      </w:r>
      <w:r w:rsidRPr="006A5DF5">
        <w:rPr>
          <w:rFonts w:cstheme="minorHAnsi"/>
          <w:bCs/>
        </w:rPr>
        <w:br/>
        <w:t>Na fijn stof is geluid de tweede milieuoorzaak van ziekte en sterfte.</w:t>
      </w:r>
    </w:p>
    <w:p w:rsidR="00C87AE9" w:rsidRPr="002748F8" w:rsidRDefault="006A5DF5" w:rsidP="008B28A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nl-NL"/>
        </w:rPr>
        <w:drawing>
          <wp:inline distT="0" distB="0" distL="0" distR="0">
            <wp:extent cx="4752975" cy="3327280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ieugerelateerde ziektelast (Daly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513" cy="336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AE9" w:rsidRPr="002748F8" w:rsidSect="006A566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F00"/>
    <w:multiLevelType w:val="hybridMultilevel"/>
    <w:tmpl w:val="1ED089C8"/>
    <w:lvl w:ilvl="0" w:tplc="D8BA17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B8F"/>
    <w:multiLevelType w:val="hybridMultilevel"/>
    <w:tmpl w:val="713CAEE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60AF"/>
    <w:multiLevelType w:val="hybridMultilevel"/>
    <w:tmpl w:val="2C46CB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387F"/>
    <w:multiLevelType w:val="hybridMultilevel"/>
    <w:tmpl w:val="F47E0A5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68"/>
    <w:rsid w:val="00162249"/>
    <w:rsid w:val="002748F8"/>
    <w:rsid w:val="003E1636"/>
    <w:rsid w:val="006654EC"/>
    <w:rsid w:val="006A5668"/>
    <w:rsid w:val="006A5DF5"/>
    <w:rsid w:val="00847421"/>
    <w:rsid w:val="008B28A9"/>
    <w:rsid w:val="00BE67E5"/>
    <w:rsid w:val="00C87AE9"/>
    <w:rsid w:val="00DF0E2A"/>
    <w:rsid w:val="00F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267F"/>
  <w15:chartTrackingRefBased/>
  <w15:docId w15:val="{931C1972-4098-4B54-B8B0-DD17BC1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C87A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56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54EC"/>
    <w:rPr>
      <w:rFonts w:ascii="Segoe UI" w:hAnsi="Segoe UI" w:cs="Segoe UI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C87AE9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al">
    <w:name w:val="al"/>
    <w:basedOn w:val="Standaard"/>
    <w:rsid w:val="00C8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5</cp:revision>
  <cp:lastPrinted>2016-10-25T22:14:00Z</cp:lastPrinted>
  <dcterms:created xsi:type="dcterms:W3CDTF">2016-10-25T21:35:00Z</dcterms:created>
  <dcterms:modified xsi:type="dcterms:W3CDTF">2016-11-15T22:43:00Z</dcterms:modified>
</cp:coreProperties>
</file>