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69" w:rsidRDefault="000C4369" w:rsidP="000C4369">
      <w:pPr>
        <w:pStyle w:val="Kop1"/>
      </w:pPr>
      <w:r>
        <w:rPr>
          <w:noProof/>
        </w:rPr>
        <w:drawing>
          <wp:inline distT="0" distB="0" distL="0" distR="0">
            <wp:extent cx="3495675" cy="552317"/>
            <wp:effectExtent l="0" t="0" r="0" b="635"/>
            <wp:docPr id="3" name="Afbeelding 3" descr="Rijkswaterstaat Ministerie van Infrastructuur en Milie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jkswaterstaat Ministerie van Infrastructuur en Milie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10" cy="55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69" w:rsidRPr="00021EB7" w:rsidRDefault="000C4369" w:rsidP="000C4369">
      <w:pPr>
        <w:pStyle w:val="Kop1"/>
        <w:rPr>
          <w:sz w:val="40"/>
          <w:szCs w:val="40"/>
        </w:rPr>
      </w:pPr>
      <w:r w:rsidRPr="00021EB7">
        <w:rPr>
          <w:sz w:val="40"/>
          <w:szCs w:val="40"/>
        </w:rPr>
        <w:t>Klimaatmonitor</w:t>
      </w:r>
    </w:p>
    <w:p w:rsidR="000C4369" w:rsidRDefault="000C4369" w:rsidP="000C4369">
      <w:pPr>
        <w:pStyle w:val="Normaalweb"/>
      </w:pPr>
      <w:r>
        <w:t xml:space="preserve">De Klimaatmonitor presenteert gegevens voor de monitoring van klimaatbeleid. Met deze gegevens kunt u voor alle gemeenten, regio's en provincies de CO2-uitstoot, het energiegebruik en de opwekking van hernieuwbare energie weergeven. De Klimaatmonitor bevat jaarlijks 92 tot 94 % van het Nederlandse finale energiegebruik volgens de NEV en 88 tot 90 % van de Nederlandse Hernieuwbare Energie. Een uitgebreide beschrijving van de getoonde gegevens vindt u in de verschillende </w:t>
      </w:r>
      <w:hyperlink r:id="rId6" w:history="1">
        <w:r>
          <w:rPr>
            <w:rStyle w:val="Hyperlink"/>
          </w:rPr>
          <w:t>rapportages.</w:t>
        </w:r>
      </w:hyperlink>
      <w:r>
        <w:t xml:space="preserve"> Via onderstaande keuzevensters kunt u kiezen voor welke gemeente, regio of provincie u een samenvatting van deze gegevens wilt inzien. Door te klikken op </w:t>
      </w:r>
      <w:hyperlink r:id="rId7" w:history="1">
        <w:r>
          <w:rPr>
            <w:rStyle w:val="Hyperlink"/>
          </w:rPr>
          <w:t>Database</w:t>
        </w:r>
      </w:hyperlink>
      <w:r>
        <w:t xml:space="preserve"> krijgt u toegang tot alle achterliggende gegevens.</w:t>
      </w:r>
    </w:p>
    <w:p w:rsidR="000C4369" w:rsidRDefault="002E6BA7" w:rsidP="000C4369">
      <w:pPr>
        <w:pStyle w:val="Normaalweb"/>
      </w:pPr>
      <w:hyperlink r:id="rId8" w:history="1">
        <w:r w:rsidRPr="00DB045E">
          <w:rPr>
            <w:rStyle w:val="Hyperlink"/>
          </w:rPr>
          <w:t>https://klimaatmonitor.databank.nl/jive/jivereportcontents.ashx?report=home&amp;inp_geo=provincie_11&amp;inp_comp=provincie&amp;tabid=t3</w:t>
        </w:r>
      </w:hyperlink>
      <w:r>
        <w:t xml:space="preserve"> </w:t>
      </w:r>
    </w:p>
    <w:p w:rsidR="000C4369" w:rsidRPr="00021EB7" w:rsidRDefault="000C4369" w:rsidP="000C4369">
      <w:pPr>
        <w:pStyle w:val="Kop2"/>
        <w:rPr>
          <w:sz w:val="32"/>
          <w:szCs w:val="32"/>
        </w:rPr>
      </w:pPr>
      <w:r w:rsidRPr="00021EB7">
        <w:rPr>
          <w:sz w:val="32"/>
          <w:szCs w:val="32"/>
        </w:rPr>
        <w:t>Trends en nadere details Energiegebruik Noord-Brabant (in TJ)</w:t>
      </w:r>
    </w:p>
    <w:p w:rsidR="000C4369" w:rsidRDefault="000C4369" w:rsidP="000C4369">
      <w:r>
        <w:rPr>
          <w:noProof/>
          <w:lang w:eastAsia="nl-NL"/>
        </w:rPr>
        <w:drawing>
          <wp:inline distT="0" distB="0" distL="0" distR="0">
            <wp:extent cx="5219700" cy="4686300"/>
            <wp:effectExtent l="0" t="0" r="0" b="0"/>
            <wp:docPr id="2" name="Afbeelding 2" descr="Thema's  - Noord-Braba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ma's  - Noord-Brabant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color w:val="0000FF"/>
          <w:lang w:eastAsia="nl-NL"/>
        </w:rPr>
        <w:drawing>
          <wp:inline distT="0" distB="0" distL="0" distR="0">
            <wp:extent cx="209550" cy="209550"/>
            <wp:effectExtent l="0" t="0" r="0" b="0"/>
            <wp:docPr id="1" name="Afbeelding 1" descr="Toon Tabel (opent in nieuw tabblad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on Tabel (opent in nieuw tabblad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2963"/>
        <w:gridCol w:w="785"/>
        <w:gridCol w:w="763"/>
      </w:tblGrid>
      <w:tr w:rsidR="000C4369" w:rsidTr="000C436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369" w:rsidRDefault="000C4369">
            <w:pPr>
              <w:jc w:val="center"/>
              <w:rPr>
                <w:sz w:val="24"/>
                <w:szCs w:val="24"/>
              </w:rPr>
            </w:pPr>
            <w:r>
              <w:t>Trends en nadere details Energiegebruik Noord-Brabant (in TJ)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Sector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Subsector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Peiljaar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Gebouwde </w:t>
            </w:r>
            <w:r>
              <w:rPr>
                <w:b/>
                <w:bCs/>
              </w:rPr>
              <w:br/>
              <w:t>omgeving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Woningen (</w:t>
            </w:r>
            <w:proofErr w:type="spellStart"/>
            <w:r>
              <w:rPr>
                <w:b/>
                <w:bCs/>
              </w:rPr>
              <w:t>sjv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64.872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Commerciële dienstverlening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21.793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Publieke dienstverlening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13.710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rHeight w:val="38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Gebouwde Omgeving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100.375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Mobiliteit </w:t>
            </w:r>
            <w:r>
              <w:rPr>
                <w:b/>
                <w:bCs/>
              </w:rPr>
              <w:br/>
              <w:t>(excl. railverkeer)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Wegverkeer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72.501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Mobiele werktuigen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5.118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Binnen -en recreatievaart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3.628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Zeescheepvaart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Verkeer en vervoer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81.247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Industrie, Energie,</w:t>
            </w:r>
            <w:r>
              <w:rPr>
                <w:b/>
                <w:bCs/>
              </w:rPr>
              <w:br/>
              <w:t>Afval en Water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Industrie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64.200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Bouwnijverheid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1.403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Energieproductie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507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Winning van delfstoffen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Afval en (afval)water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1.697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4369" w:rsidRDefault="000C43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Industrie, Energie,</w:t>
            </w:r>
            <w:r>
              <w:rPr>
                <w:b/>
                <w:bCs/>
              </w:rPr>
              <w:br/>
              <w:t>Afval en Water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67.950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Landbouw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Landbouw, bosbouw en visserij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17.992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Hernieuwbaar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11.269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Totaal bekend energiegebruik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276.355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2014</w:t>
            </w:r>
          </w:p>
        </w:tc>
      </w:tr>
    </w:tbl>
    <w:p w:rsidR="000C4369" w:rsidRDefault="000C4369" w:rsidP="000C4369">
      <w:pPr>
        <w:pStyle w:val="Normaalweb"/>
      </w:pPr>
      <w:r>
        <w:t xml:space="preserve">In bovenstaand trenddiagram ziet u de ontwikkeling van het energiegebruik in de meeste sectoren op het door u gekozen schaalniveau. Voor de belangrijkste energiedragers (gas, elektriciteit, voertuigbrandstoffen) geven deze gegevens een compleet beeld van het totale energiegebruik. In de tabel vindt u nadere details over de energiegebruiken in het meest recente peiljaar. Door op de verschillende cellen van de tabel te klikken, ziet u een verdere uitsplitsing van de energiegebruiken in desbetreffende sector. </w:t>
      </w:r>
    </w:p>
    <w:p w:rsidR="000C4369" w:rsidRDefault="000C4369" w:rsidP="000C4369">
      <w:pPr>
        <w:pStyle w:val="Normaalweb"/>
      </w:pPr>
      <w:r>
        <w:t xml:space="preserve">Deze gegevens zijn afkomstig uit verschillende bronnen. De belangrijkste bron voor deze gegevens is CBS. Als u op </w:t>
      </w:r>
      <w:bookmarkStart w:id="0" w:name="qslink"/>
      <w:r>
        <w:fldChar w:fldCharType="begin"/>
      </w:r>
      <w:r>
        <w:instrText xml:space="preserve"> HYPERLINK "https://klimaatmonitor.databank.nl/jive/report/?id=energiegebruik&amp;inp_geo=provincie_11" </w:instrText>
      </w:r>
      <w:r>
        <w:fldChar w:fldCharType="separate"/>
      </w:r>
      <w:r>
        <w:rPr>
          <w:rStyle w:val="Hyperlink"/>
        </w:rPr>
        <w:t>rapportage energiegebruiken</w:t>
      </w:r>
      <w:r>
        <w:fldChar w:fldCharType="end"/>
      </w:r>
      <w:bookmarkEnd w:id="0"/>
      <w:r>
        <w:t xml:space="preserve"> klikt, vindt u een rapportage m.b.t. energiegebruiken. </w:t>
      </w:r>
    </w:p>
    <w:p w:rsidR="000C4369" w:rsidRDefault="000C436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0C4369" w:rsidRDefault="000C4369" w:rsidP="000C4369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4762500" cy="752475"/>
            <wp:effectExtent l="0" t="0" r="0" b="9525"/>
            <wp:docPr id="4" name="Afbeelding 4" descr="Rijkswaterstaat Ministerie van Infrastructuur en Milie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jkswaterstaat Ministerie van Infrastructuur en Milie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69" w:rsidRDefault="000C4369" w:rsidP="000C4369">
      <w:pPr>
        <w:pStyle w:val="Normaalweb"/>
      </w:pPr>
      <w:r>
        <w:t xml:space="preserve">De Klimaatmonitor presenteert gegevens voor de monitoring van klimaatbeleid. Met deze gegevens kunt u voor alle gemeenten, regio's en provincies de CO2-uitstoot, het energiegebruik en de opwekking van hernieuwbare energie weergeven. De Klimaatmonitor bevat jaarlijks 92 tot 94 % van het Nederlandse finale energiegebruik volgens de NEV en 88 tot 90 % van de Nederlandse Hernieuwbare Energie. Een uitgebreide beschrijving van de getoonde gegevens vindt u in de verschillende </w:t>
      </w:r>
      <w:hyperlink r:id="rId12" w:history="1">
        <w:r>
          <w:rPr>
            <w:rStyle w:val="Hyperlink"/>
          </w:rPr>
          <w:t>rapportages.</w:t>
        </w:r>
      </w:hyperlink>
      <w:r>
        <w:t xml:space="preserve"> Via onderstaande keuzevensters kunt u kiezen voor welke gemeente, regio of provincie u een samenvatting van deze gegevens wilt inzien. Door te klikken op </w:t>
      </w:r>
      <w:hyperlink r:id="rId13" w:history="1">
        <w:r>
          <w:rPr>
            <w:rStyle w:val="Hyperlink"/>
          </w:rPr>
          <w:t>Database</w:t>
        </w:r>
      </w:hyperlink>
      <w:r>
        <w:t xml:space="preserve"> krijgt u toegang tot alle achterliggende gegevens.</w:t>
      </w:r>
    </w:p>
    <w:p w:rsidR="002E6BA7" w:rsidRDefault="002E6BA7" w:rsidP="000C4369">
      <w:pPr>
        <w:pStyle w:val="Normaalweb"/>
      </w:pPr>
      <w:hyperlink r:id="rId14" w:history="1">
        <w:r w:rsidRPr="00DB045E">
          <w:rPr>
            <w:rStyle w:val="Hyperlink"/>
          </w:rPr>
          <w:t>https://klimaatmonitor.databank.nl/jive/jivereportcontents.ashx?report=home&amp;inp_geo=provincie_11&amp;inp_comp=provincie&amp;tabid=t3</w:t>
        </w:r>
      </w:hyperlink>
      <w:r>
        <w:t xml:space="preserve"> </w:t>
      </w:r>
    </w:p>
    <w:p w:rsidR="000C4369" w:rsidRPr="00021EB7" w:rsidRDefault="000C4369" w:rsidP="000C4369">
      <w:pPr>
        <w:pStyle w:val="Kop2"/>
        <w:rPr>
          <w:sz w:val="32"/>
          <w:szCs w:val="32"/>
        </w:rPr>
      </w:pPr>
      <w:r w:rsidRPr="00021EB7">
        <w:rPr>
          <w:sz w:val="32"/>
          <w:szCs w:val="32"/>
        </w:rPr>
        <w:t>Trends en nadere details Hernieuwbare energie Noord-Brabant (in TJ)</w:t>
      </w:r>
    </w:p>
    <w:p w:rsidR="000C4369" w:rsidRDefault="000C4369" w:rsidP="000C4369">
      <w:r>
        <w:rPr>
          <w:noProof/>
          <w:lang w:eastAsia="nl-NL"/>
        </w:rPr>
        <w:drawing>
          <wp:inline distT="0" distB="0" distL="0" distR="0">
            <wp:extent cx="5219700" cy="4686300"/>
            <wp:effectExtent l="0" t="0" r="0" b="0"/>
            <wp:docPr id="6" name="Afbeelding 6" descr="Rijkswaterstaat Klimaatmonitor  - Noord-Braba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jkswaterstaat Klimaatmonitor  - Noord-Brabant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color w:val="0000FF"/>
          <w:lang w:eastAsia="nl-NL"/>
        </w:rPr>
        <w:drawing>
          <wp:inline distT="0" distB="0" distL="0" distR="0">
            <wp:extent cx="209550" cy="209550"/>
            <wp:effectExtent l="0" t="0" r="0" b="0"/>
            <wp:docPr id="5" name="Afbeelding 5" descr="Toon Tabel (opent in nieuw tabblad)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on Tabel (opent in nieuw tabblad)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1363"/>
        <w:gridCol w:w="684"/>
        <w:gridCol w:w="774"/>
      </w:tblGrid>
      <w:tr w:rsidR="000C4369" w:rsidTr="000C436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369" w:rsidRDefault="000C4369">
            <w:pPr>
              <w:jc w:val="center"/>
              <w:rPr>
                <w:sz w:val="24"/>
                <w:szCs w:val="24"/>
              </w:rPr>
            </w:pPr>
            <w:r>
              <w:t>Trends en nadere details Hernieuwbare energie Noord-Brabant (in TJ)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Hernieuwbare Energie-optie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Energiedrager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TJ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Peiljaar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Afvalverbrandingsinstallatie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667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Meestook</w:t>
            </w:r>
            <w:proofErr w:type="spellEnd"/>
            <w:r>
              <w:rPr>
                <w:b/>
                <w:bCs/>
              </w:rPr>
              <w:t xml:space="preserve"> biomassa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1.810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Overige bio-energie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1.582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Waterkracht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Wind op land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812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Zonnestroom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466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5.410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Afvalverbrandingsinstallatie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4.687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Biomassaketels bedrijven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2.089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Geothermie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rPr>
                <w:sz w:val="24"/>
                <w:szCs w:val="24"/>
              </w:rPr>
            </w:pPr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Houtkachels woningen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3.533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Meestook</w:t>
            </w:r>
            <w:proofErr w:type="spellEnd"/>
            <w:r>
              <w:rPr>
                <w:b/>
                <w:bCs/>
              </w:rPr>
              <w:t xml:space="preserve"> biomassa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Overige bio-energie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513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Ondiepe bodemenergie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535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2015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11.269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Biobrandstoffen wegverkeer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Brandstof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2.490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Biobrandstoffen mobiele werktuigen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Brandstof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verkeer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Brandstof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2.625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>
            <w:r>
              <w:t>2014</w:t>
            </w:r>
          </w:p>
        </w:tc>
      </w:tr>
      <w:tr w:rsidR="000C4369" w:rsidTr="000C43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4369" w:rsidRDefault="000C4369">
            <w:pPr>
              <w:jc w:val="center"/>
              <w:rPr>
                <w:b/>
                <w:bCs/>
              </w:rPr>
            </w:pPr>
          </w:p>
          <w:p w:rsidR="000C4369" w:rsidRDefault="000C4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Totaal HE alloceerbare opties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19.304</w:t>
            </w:r>
          </w:p>
        </w:tc>
        <w:tc>
          <w:tcPr>
            <w:tcW w:w="0" w:type="auto"/>
            <w:vAlign w:val="center"/>
            <w:hideMark/>
          </w:tcPr>
          <w:p w:rsidR="000C4369" w:rsidRDefault="000C4369"/>
          <w:p w:rsidR="000C4369" w:rsidRDefault="000C4369">
            <w:r>
              <w:t>2014</w:t>
            </w:r>
          </w:p>
        </w:tc>
      </w:tr>
    </w:tbl>
    <w:p w:rsidR="000C4369" w:rsidRDefault="000C4369" w:rsidP="000C4369">
      <w:pPr>
        <w:pStyle w:val="Normaalweb"/>
      </w:pPr>
      <w:r>
        <w:t xml:space="preserve">In bovenstaand trenddiagram ziet u de ontwikkeling van de opwekking van de meest relevante vormen van Hernieuwbare Energie op het door u gekozen schaalniveau. In de tabel vindt u nadere details over de opgewekte Hernieuwbare Energie in het meest recente peiljaar. Door op de verschillende cellen van de tabel te klikken, ziet u een verdere uitsplitsing van desbetreffende vorm van opgewekte Hernieuwbare Energie. </w:t>
      </w:r>
    </w:p>
    <w:p w:rsidR="002E6BA7" w:rsidRDefault="000C4369" w:rsidP="00021EB7">
      <w:pPr>
        <w:pStyle w:val="Normaalweb"/>
      </w:pPr>
      <w:r>
        <w:t xml:space="preserve">Deze gegevens zijn tot stand gekomen door de nationale totalen te verdelen op basis van verdeelsleutels zoals het lokaal opgestelde opwekkingsvermogen. Als u op </w:t>
      </w:r>
      <w:hyperlink r:id="rId17" w:history="1">
        <w:r>
          <w:rPr>
            <w:rStyle w:val="Hyperlink"/>
          </w:rPr>
          <w:t>rapportage Hernieuwbare Energie</w:t>
        </w:r>
      </w:hyperlink>
      <w:r>
        <w:t xml:space="preserve"> klikt, vindt u een rapportage waarin de gebruikte methode en verdeelsleutels worden toegelicht. </w:t>
      </w:r>
      <w:r w:rsidR="002E6BA7">
        <w:br w:type="page"/>
      </w:r>
    </w:p>
    <w:p w:rsidR="002E6BA7" w:rsidRDefault="002E6BA7">
      <w:r>
        <w:rPr>
          <w:noProof/>
          <w:lang w:eastAsia="nl-NL"/>
        </w:rPr>
        <w:lastRenderedPageBreak/>
        <w:drawing>
          <wp:inline distT="0" distB="0" distL="0" distR="0">
            <wp:extent cx="4762500" cy="752475"/>
            <wp:effectExtent l="0" t="0" r="0" b="9525"/>
            <wp:docPr id="7" name="Afbeelding 7" descr="Rijkswaterstaat Ministerie van Infrastructuur en Milie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jkswaterstaat Ministerie van Infrastructuur en Milie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A7" w:rsidRDefault="002E6BA7">
      <w:hyperlink r:id="rId18" w:history="1">
        <w:r w:rsidRPr="00DB045E">
          <w:rPr>
            <w:rStyle w:val="Hyperlink"/>
          </w:rPr>
          <w:t>https://klimaatmonitor.databank.nl/jive/jivereportcontents.ashx?report=home&amp;inp_geo=gemeente_772&amp;inp_comp=provincie&amp;tabid=t5</w:t>
        </w:r>
      </w:hyperlink>
      <w:r>
        <w:t xml:space="preserve"> </w:t>
      </w:r>
    </w:p>
    <w:p w:rsidR="002E6BA7" w:rsidRDefault="002E6BA7" w:rsidP="002E6BA7">
      <w:pPr>
        <w:pStyle w:val="Normaalweb"/>
      </w:pPr>
      <w:r>
        <w:t xml:space="preserve">De Klimaatmonitor presenteert gegevens voor de monitoring van klimaatbeleid. Met deze gegevens kunt u voor alle gemeenten, regio's en provincies de CO2-uitstoot, het energiegebruik en de opwekking van hernieuwbare energie weergeven. De Klimaatmonitor bevat jaarlijks 92 tot 94 % van het Nederlandse finale energiegebruik volgens de NEV en 88 tot 90 % van de Nederlandse Hernieuwbare Energie. Een uitgebreide beschrijving van de getoonde gegevens vindt u in de verschillende </w:t>
      </w:r>
      <w:hyperlink r:id="rId19" w:history="1">
        <w:r>
          <w:rPr>
            <w:rStyle w:val="Hyperlink"/>
          </w:rPr>
          <w:t>rapportages.</w:t>
        </w:r>
      </w:hyperlink>
      <w:r>
        <w:t xml:space="preserve"> Via onderstaande keuzevensters kunt u kiezen voor welke gemeente, regio of provincie u een samenvatting van deze gegevens wilt inzien. Door te klikken op </w:t>
      </w:r>
      <w:hyperlink r:id="rId20" w:history="1">
        <w:r>
          <w:rPr>
            <w:rStyle w:val="Hyperlink"/>
          </w:rPr>
          <w:t>Database</w:t>
        </w:r>
      </w:hyperlink>
      <w:r>
        <w:t xml:space="preserve"> krijgt u toegang tot alle achterliggende gegevens.</w:t>
      </w:r>
    </w:p>
    <w:p w:rsidR="002E6BA7" w:rsidRDefault="002E6BA7" w:rsidP="002E6BA7">
      <w:pPr>
        <w:pStyle w:val="Kop2"/>
      </w:pPr>
      <w:r>
        <w:t>Trends en nadere details Energiegebruik Eindhoven (in TJ)</w:t>
      </w:r>
    </w:p>
    <w:p w:rsidR="002E6BA7" w:rsidRDefault="002E6BA7" w:rsidP="002E6BA7">
      <w:r>
        <w:rPr>
          <w:noProof/>
          <w:lang w:eastAsia="nl-NL"/>
        </w:rPr>
        <w:drawing>
          <wp:inline distT="0" distB="0" distL="0" distR="0">
            <wp:extent cx="5219700" cy="4686300"/>
            <wp:effectExtent l="0" t="0" r="0" b="0"/>
            <wp:docPr id="9" name="Afbeelding 9" descr="Thema's  - Eindhov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ma's  - Eindhoven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color w:val="0000FF"/>
          <w:lang w:eastAsia="nl-NL"/>
        </w:rPr>
        <w:drawing>
          <wp:inline distT="0" distB="0" distL="0" distR="0">
            <wp:extent cx="209550" cy="209550"/>
            <wp:effectExtent l="0" t="0" r="0" b="0"/>
            <wp:docPr id="8" name="Afbeelding 8" descr="Toon Tabel (opent in nieuw tabblad)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on Tabel (opent in nieuw tabblad)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2963"/>
        <w:gridCol w:w="674"/>
        <w:gridCol w:w="763"/>
      </w:tblGrid>
      <w:tr w:rsidR="002E6BA7" w:rsidTr="002E6BA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BA7" w:rsidRDefault="002E6BA7">
            <w:pPr>
              <w:jc w:val="center"/>
              <w:rPr>
                <w:sz w:val="24"/>
                <w:szCs w:val="24"/>
              </w:rPr>
            </w:pPr>
            <w:r>
              <w:t>Trends en nadere details Energiegebruik Eindhoven (in TJ)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Sector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Subsector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Peiljaar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Gebouwde </w:t>
            </w:r>
            <w:r>
              <w:rPr>
                <w:b/>
                <w:bCs/>
              </w:rPr>
              <w:br/>
              <w:t>omgeving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Woningen (</w:t>
            </w:r>
            <w:proofErr w:type="spellStart"/>
            <w:r>
              <w:rPr>
                <w:b/>
                <w:bCs/>
              </w:rPr>
              <w:t>sjv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5.424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Commerciële dienstverlening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2.319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Publieke dienstverlening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1.933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Gebouwde Omgeving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9.676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Mobiliteit </w:t>
            </w:r>
            <w:r>
              <w:rPr>
                <w:b/>
                <w:bCs/>
              </w:rPr>
              <w:br/>
              <w:t>(excl. railverkeer)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Wegverkeer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5.676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Mobiele werktuigen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301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Binnen -en recreatievaart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Zeescheepvaart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Verkeer en vervoer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5.979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Industrie, Energie,</w:t>
            </w:r>
            <w:r>
              <w:rPr>
                <w:b/>
                <w:bCs/>
              </w:rPr>
              <w:br/>
              <w:t>Afval en Water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Industrie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2.410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Bouwnijverheid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Energieproductie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Winning van delfstoffen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Afval en (afval)water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BA7" w:rsidRDefault="002E6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Industrie, Energie,</w:t>
            </w:r>
            <w:r>
              <w:rPr>
                <w:b/>
                <w:bCs/>
              </w:rPr>
              <w:br/>
              <w:t>Afval en Water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2.635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Landbouw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Landbouw, bosbouw en visserij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Hernieuwbaar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333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Totaal bekend energiegebruik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18.445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2014</w:t>
            </w:r>
          </w:p>
        </w:tc>
      </w:tr>
    </w:tbl>
    <w:p w:rsidR="002E6BA7" w:rsidRDefault="002E6BA7" w:rsidP="002E6BA7">
      <w:pPr>
        <w:pStyle w:val="Normaalweb"/>
      </w:pPr>
      <w:r>
        <w:t xml:space="preserve">In bovenstaand trenddiagram ziet u de ontwikkeling van het energiegebruik in de meeste sectoren op het door u gekozen schaalniveau. Voor de belangrijkste energiedragers (gas, elektriciteit, voertuigbrandstoffen) geven deze gegevens een compleet beeld van het totale energiegebruik. In de tabel vindt u nadere details over de energiegebruiken in het meest recente peiljaar. Door op de verschillende cellen van de tabel te klikken, ziet u een verdere uitsplitsing van de energiegebruiken in desbetreffende sector. </w:t>
      </w:r>
    </w:p>
    <w:p w:rsidR="002E6BA7" w:rsidRDefault="002E6BA7">
      <w:r>
        <w:rPr>
          <w:noProof/>
          <w:lang w:eastAsia="nl-NL"/>
        </w:rPr>
        <w:drawing>
          <wp:inline distT="0" distB="0" distL="0" distR="0">
            <wp:extent cx="4762500" cy="752475"/>
            <wp:effectExtent l="0" t="0" r="0" b="9525"/>
            <wp:docPr id="10" name="Afbeelding 10" descr="Rijkswaterstaat Ministerie van Infrastructuur en Milie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ijkswaterstaat Ministerie van Infrastructuur en Milie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A7" w:rsidRDefault="002E6BA7" w:rsidP="002E6BA7">
      <w:pPr>
        <w:pStyle w:val="Normaalweb"/>
      </w:pPr>
      <w:r>
        <w:lastRenderedPageBreak/>
        <w:t xml:space="preserve">De Klimaatmonitor presenteert gegevens voor de monitoring van klimaatbeleid. Met deze gegevens kunt u voor alle gemeenten, regio's en provincies de CO2-uitstoot, het energiegebruik en de opwekking van hernieuwbare energie weergeven. De Klimaatmonitor bevat jaarlijks 92 tot 94 % van het Nederlandse finale energiegebruik volgens de NEV en 88 tot 90 % van de Nederlandse Hernieuwbare Energie. Een uitgebreide beschrijving van de getoonde gegevens vindt u in de verschillende </w:t>
      </w:r>
      <w:hyperlink r:id="rId23" w:history="1">
        <w:r>
          <w:rPr>
            <w:rStyle w:val="Hyperlink"/>
          </w:rPr>
          <w:t>rapportages.</w:t>
        </w:r>
      </w:hyperlink>
      <w:r>
        <w:t xml:space="preserve"> Via onderstaande keuzevensters kunt u kiezen voor welke gemeente, regio of provincie u een samenvatting van deze gegevens wilt inzien. Door te klikken op </w:t>
      </w:r>
      <w:hyperlink r:id="rId24" w:history="1">
        <w:r>
          <w:rPr>
            <w:rStyle w:val="Hyperlink"/>
          </w:rPr>
          <w:t>Database</w:t>
        </w:r>
      </w:hyperlink>
      <w:r>
        <w:t xml:space="preserve"> krijgt u toegang tot alle achterliggende gegevens.</w:t>
      </w:r>
    </w:p>
    <w:p w:rsidR="002E6BA7" w:rsidRDefault="002E6BA7" w:rsidP="002E6BA7">
      <w:pPr>
        <w:pStyle w:val="Normaalweb"/>
      </w:pPr>
      <w:hyperlink r:id="rId25" w:history="1">
        <w:r w:rsidRPr="00DB045E">
          <w:rPr>
            <w:rStyle w:val="Hyperlink"/>
          </w:rPr>
          <w:t>https://klimaatmonitor.databank.nl/jive/jivereportcontents.ashx?report=home&amp;inp_geo=gemeente_772&amp;inp_comp=provincie&amp;tabid=t5</w:t>
        </w:r>
      </w:hyperlink>
      <w:r>
        <w:t xml:space="preserve"> </w:t>
      </w:r>
    </w:p>
    <w:p w:rsidR="002E6BA7" w:rsidRDefault="002E6BA7" w:rsidP="002E6BA7">
      <w:pPr>
        <w:pStyle w:val="Kop2"/>
      </w:pPr>
      <w:r>
        <w:t>Trends en nadere details Hernieuwbare energie Eindhoven (in TJ)</w:t>
      </w:r>
    </w:p>
    <w:p w:rsidR="002E6BA7" w:rsidRDefault="002E6BA7" w:rsidP="002E6BA7">
      <w:r>
        <w:rPr>
          <w:noProof/>
          <w:lang w:eastAsia="nl-NL"/>
        </w:rPr>
        <w:drawing>
          <wp:inline distT="0" distB="0" distL="0" distR="0">
            <wp:extent cx="5219700" cy="4686300"/>
            <wp:effectExtent l="0" t="0" r="0" b="0"/>
            <wp:docPr id="12" name="Afbeelding 12" descr="Rijkswaterstaat Klimaatmonitor  - Eindhov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ijkswaterstaat Klimaatmonitor  - Eindhoven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color w:val="0000FF"/>
          <w:lang w:eastAsia="nl-NL"/>
        </w:rPr>
        <w:drawing>
          <wp:inline distT="0" distB="0" distL="0" distR="0">
            <wp:extent cx="209550" cy="209550"/>
            <wp:effectExtent l="0" t="0" r="0" b="0"/>
            <wp:docPr id="11" name="Afbeelding 11" descr="Toon Tabel (opent in nieuw tabblad)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oon Tabel (opent in nieuw tabblad)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1342"/>
        <w:gridCol w:w="395"/>
        <w:gridCol w:w="763"/>
      </w:tblGrid>
      <w:tr w:rsidR="002E6BA7" w:rsidTr="002E6BA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BA7" w:rsidRDefault="002E6BA7">
            <w:pPr>
              <w:jc w:val="center"/>
              <w:rPr>
                <w:sz w:val="24"/>
                <w:szCs w:val="24"/>
              </w:rPr>
            </w:pPr>
            <w:r>
              <w:t>Trends en nadere details Hernieuwbare energie Eindhoven (in TJ)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Hernieuwbare Energie-optie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Energiedrager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TJ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rStyle w:val="Zwaar"/>
              </w:rPr>
              <w:t>Peiljaar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Afvalverbrandingsinstallatie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rPr>
                <w:sz w:val="24"/>
                <w:szCs w:val="24"/>
              </w:rPr>
            </w:pPr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Meestook</w:t>
            </w:r>
            <w:proofErr w:type="spellEnd"/>
            <w:r>
              <w:rPr>
                <w:b/>
                <w:bCs/>
              </w:rPr>
              <w:t xml:space="preserve"> biomassa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Overige bio-energie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Waterkracht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rPr>
                <w:sz w:val="24"/>
                <w:szCs w:val="24"/>
              </w:rPr>
            </w:pPr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Wind op land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rPr>
                <w:sz w:val="24"/>
                <w:szCs w:val="24"/>
              </w:rPr>
            </w:pPr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Zonnestroom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Elektriciteit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Afvalverbrandingsinstallatie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pPr>
              <w:rPr>
                <w:sz w:val="24"/>
                <w:szCs w:val="24"/>
              </w:rPr>
            </w:pPr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Biomassaketels bedrijven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Geothermie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rPr>
                <w:sz w:val="24"/>
                <w:szCs w:val="24"/>
              </w:rPr>
            </w:pPr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Houtkachels woningen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Meestook</w:t>
            </w:r>
            <w:proofErr w:type="spellEnd"/>
            <w:r>
              <w:rPr>
                <w:b/>
                <w:bCs/>
              </w:rPr>
              <w:t xml:space="preserve"> biomassa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rPr>
                <w:sz w:val="24"/>
                <w:szCs w:val="24"/>
              </w:rPr>
            </w:pPr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Overige bio-energie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Ondiepe bodemenergie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2015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Warmte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333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Biobrandstoffen wegverkeer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Brandstof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Biobrandstoffen mobiele werktuigen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Brandstof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Subtotaal verkeer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Brandstof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>
            <w:r>
              <w:t>2014</w:t>
            </w:r>
          </w:p>
        </w:tc>
      </w:tr>
      <w:tr w:rsidR="002E6BA7" w:rsidTr="002E6B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6BA7" w:rsidRDefault="002E6BA7">
            <w:pPr>
              <w:jc w:val="center"/>
              <w:rPr>
                <w:b/>
                <w:bCs/>
              </w:rPr>
            </w:pPr>
          </w:p>
          <w:p w:rsidR="002E6BA7" w:rsidRDefault="002E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Totaal HE alloceerbare opties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612</w:t>
            </w:r>
          </w:p>
        </w:tc>
        <w:tc>
          <w:tcPr>
            <w:tcW w:w="0" w:type="auto"/>
            <w:vAlign w:val="center"/>
            <w:hideMark/>
          </w:tcPr>
          <w:p w:rsidR="002E6BA7" w:rsidRDefault="002E6BA7"/>
          <w:p w:rsidR="002E6BA7" w:rsidRDefault="002E6BA7">
            <w:r>
              <w:t>2014</w:t>
            </w:r>
          </w:p>
        </w:tc>
      </w:tr>
    </w:tbl>
    <w:p w:rsidR="002E6BA7" w:rsidRDefault="002E6BA7" w:rsidP="002E6BA7">
      <w:pPr>
        <w:pStyle w:val="Normaalweb"/>
      </w:pPr>
      <w:r>
        <w:t xml:space="preserve">In bovenstaand trenddiagram ziet u de ontwikkeling van de opwekking van de meest relevante vormen van Hernieuwbare Energie op het door u gekozen schaalniveau. In de tabel vindt u nadere details over de opgewekte Hernieuwbare Energie in het meest recente peiljaar. Door op de verschillende cellen van de tabel te klikken, ziet u een verdere uitsplitsing van desbetreffende vorm van opgewekte Hernieuwbare Energie. </w:t>
      </w:r>
    </w:p>
    <w:p w:rsidR="002E6BA7" w:rsidRDefault="002E6BA7" w:rsidP="002E6BA7">
      <w:pPr>
        <w:pStyle w:val="Normaalweb"/>
      </w:pPr>
      <w:r>
        <w:t xml:space="preserve">Deze gegevens zijn tot stand gekomen door de nationale totalen te verdelen op basis van verdeelsleutels zoals het lokaal opgestelde opwekkingsvermogen. Als u op </w:t>
      </w:r>
      <w:hyperlink r:id="rId28" w:history="1">
        <w:r>
          <w:rPr>
            <w:rStyle w:val="Hyperlink"/>
          </w:rPr>
          <w:t>rapportage Hernieuwbare Energie</w:t>
        </w:r>
      </w:hyperlink>
      <w:r>
        <w:t xml:space="preserve"> klikt, vindt u een rapportage waarin de gebruikte methode en verdeelsleutels worden toegelicht. </w:t>
      </w:r>
    </w:p>
    <w:p w:rsidR="00021EB7" w:rsidRDefault="00021EB7" w:rsidP="002E6BA7">
      <w:pPr>
        <w:pStyle w:val="Normaalweb"/>
      </w:pPr>
    </w:p>
    <w:p w:rsidR="00021EB7" w:rsidRDefault="00021EB7" w:rsidP="002E6BA7">
      <w:pPr>
        <w:pStyle w:val="Normaalweb"/>
      </w:pPr>
    </w:p>
    <w:p w:rsidR="002E6BA7" w:rsidRDefault="002E6BA7">
      <w:bookmarkStart w:id="1" w:name="_GoBack"/>
      <w:bookmarkEnd w:id="1"/>
    </w:p>
    <w:p w:rsidR="002E6BA7" w:rsidRDefault="002E6BA7" w:rsidP="002E6BA7">
      <w:hyperlink r:id="rId29" w:history="1">
        <w:r w:rsidRPr="00DB045E">
          <w:rPr>
            <w:rStyle w:val="Hyperlink"/>
          </w:rPr>
          <w:t>www.lokaleenergieetalage.nl</w:t>
        </w:r>
      </w:hyperlink>
    </w:p>
    <w:p w:rsidR="002E6BA7" w:rsidRDefault="002E6BA7" w:rsidP="002E6BA7">
      <w:hyperlink r:id="rId30" w:history="1">
        <w:r w:rsidRPr="00DB045E">
          <w:rPr>
            <w:rStyle w:val="Hyperlink"/>
          </w:rPr>
          <w:t>https://lokaalklimaatbeleid.mett.nl/default.aspx</w:t>
        </w:r>
      </w:hyperlink>
    </w:p>
    <w:p w:rsidR="00CF3FEE" w:rsidRDefault="00CF3FEE"/>
    <w:sectPr w:rsidR="00CF3FEE" w:rsidSect="00021E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63B"/>
    <w:multiLevelType w:val="multilevel"/>
    <w:tmpl w:val="4C5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82ECB"/>
    <w:multiLevelType w:val="multilevel"/>
    <w:tmpl w:val="D57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70235"/>
    <w:multiLevelType w:val="multilevel"/>
    <w:tmpl w:val="B44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82E6B"/>
    <w:multiLevelType w:val="multilevel"/>
    <w:tmpl w:val="EEA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93280"/>
    <w:multiLevelType w:val="multilevel"/>
    <w:tmpl w:val="4988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EE"/>
    <w:rsid w:val="00021EB7"/>
    <w:rsid w:val="000C4369"/>
    <w:rsid w:val="002E6BA7"/>
    <w:rsid w:val="00783E7E"/>
    <w:rsid w:val="007B5729"/>
    <w:rsid w:val="009C0E27"/>
    <w:rsid w:val="00CF3FEE"/>
    <w:rsid w:val="00DA7646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2FDF"/>
  <w15:chartTrackingRefBased/>
  <w15:docId w15:val="{C3F28E28-7D26-4F5B-BEA0-AA19E9F1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C4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0C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3FEE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C436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C436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0C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4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maatmonitor.databank.nl/jive/jivereportcontents.ashx?report=home&amp;inp_geo=provincie_11&amp;inp_comp=provincie&amp;tabid=t3" TargetMode="External"/><Relationship Id="rId13" Type="http://schemas.openxmlformats.org/officeDocument/2006/relationships/hyperlink" Target="http://klimaatmonitor.databank.nl/Jive" TargetMode="External"/><Relationship Id="rId18" Type="http://schemas.openxmlformats.org/officeDocument/2006/relationships/hyperlink" Target="https://klimaatmonitor.databank.nl/jive/jivereportcontents.ashx?report=home&amp;inp_geo=gemeente_772&amp;inp_comp=provincie&amp;tabid=t5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klimaatmonitor.databank.nl/Jive" TargetMode="External"/><Relationship Id="rId12" Type="http://schemas.openxmlformats.org/officeDocument/2006/relationships/hyperlink" Target="http://klimaatmonitor.databank.nl/Jive?cat_open_code=c104" TargetMode="External"/><Relationship Id="rId17" Type="http://schemas.openxmlformats.org/officeDocument/2006/relationships/hyperlink" Target="https://klimaatmonitor.databank.nl/jive/report/?id=hernieuwbaar_html&amp;inp_geo=provincie_11" TargetMode="External"/><Relationship Id="rId25" Type="http://schemas.openxmlformats.org/officeDocument/2006/relationships/hyperlink" Target="https://klimaatmonitor.databank.nl/jive/jivereportcontents.ashx?report=home&amp;inp_geo=gemeente_772&amp;inp_comp=provincie&amp;tabid=t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limaatmonitor.databank.nl/Jive/JiveReportTable.aspx?filename=klimaatmonitor.databank.nl_snkm%5Crep_home_813e9c7560c307b22d42f71aadf61eaf%5Chtm_fda4d607-e38b-44de-9ceb-2d978dd13109.htm" TargetMode="External"/><Relationship Id="rId20" Type="http://schemas.openxmlformats.org/officeDocument/2006/relationships/hyperlink" Target="http://klimaatmonitor.databank.nl/Jive" TargetMode="External"/><Relationship Id="rId29" Type="http://schemas.openxmlformats.org/officeDocument/2006/relationships/hyperlink" Target="http://www.lokaleenergieetalage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limaatmonitor.databank.nl/Jive?cat_open_code=c104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klimaatmonitor.databank.nl/Jive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klimaatmonitor.databank.nl/Jive?cat_open_code=c104" TargetMode="External"/><Relationship Id="rId28" Type="http://schemas.openxmlformats.org/officeDocument/2006/relationships/hyperlink" Target="https://klimaatmonitor.databank.nl/jive/report/?id=hernieuwbaar_html&amp;inp_geo=gemeente_772" TargetMode="External"/><Relationship Id="rId10" Type="http://schemas.openxmlformats.org/officeDocument/2006/relationships/hyperlink" Target="https://klimaatmonitor.databank.nl/Jive/JiveReportTable.aspx?filename=klimaatmonitor.databank.nl_snkm%5Crep_home_813e9c7560c307b22d42f71aadf61eaf%5Chtm_7823650e-e911-4d54-b87f-3925a94ff0c9.htm" TargetMode="External"/><Relationship Id="rId19" Type="http://schemas.openxmlformats.org/officeDocument/2006/relationships/hyperlink" Target="http://klimaatmonitor.databank.nl/Jive?cat_open_code=c10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limaatmonitor.databank.nl/jive/jivereportcontents.ashx?report=home&amp;inp_geo=provincie_11&amp;inp_comp=provincie&amp;tabid=t3" TargetMode="External"/><Relationship Id="rId22" Type="http://schemas.openxmlformats.org/officeDocument/2006/relationships/hyperlink" Target="https://klimaatmonitor.databank.nl/Jive/JiveReportTable.aspx?filename=klimaatmonitor.databank.nl_snkm%5Crep_home_989f76fca41d7aa15ff8d41aee578075%5Chtm_d96721ce-d6f3-44ca-8398-ee8e4a213fe7.htm" TargetMode="External"/><Relationship Id="rId27" Type="http://schemas.openxmlformats.org/officeDocument/2006/relationships/hyperlink" Target="https://klimaatmonitor.databank.nl/Jive/JiveReportTable.aspx?filename=klimaatmonitor.databank.nl_snkm%5Crep_home_989f76fca41d7aa15ff8d41aee578075%5Chtm_e8290220-8b40-44f1-b399-ae69bbfd74cb.htm" TargetMode="External"/><Relationship Id="rId30" Type="http://schemas.openxmlformats.org/officeDocument/2006/relationships/hyperlink" Target="https://lokaalklimaatbeleid.mett.nl/default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1735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1</cp:revision>
  <dcterms:created xsi:type="dcterms:W3CDTF">2017-01-18T14:38:00Z</dcterms:created>
  <dcterms:modified xsi:type="dcterms:W3CDTF">2017-01-18T15:22:00Z</dcterms:modified>
</cp:coreProperties>
</file>