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725" w:rsidRDefault="0009584E" w:rsidP="0051718C">
      <w:pPr>
        <w:spacing w:after="200"/>
        <w:rPr>
          <w:b/>
          <w:lang w:val="en-US"/>
        </w:rPr>
      </w:pPr>
      <w:r>
        <w:rPr>
          <w:b/>
          <w:noProof/>
          <w:lang w:eastAsia="nl-NL"/>
        </w:rPr>
        <w:drawing>
          <wp:anchor distT="0" distB="0" distL="114300" distR="114300" simplePos="0" relativeHeight="252583936" behindDoc="1" locked="0" layoutInCell="1" allowOverlap="1">
            <wp:simplePos x="0" y="0"/>
            <wp:positionH relativeFrom="column">
              <wp:posOffset>-1298575</wp:posOffset>
            </wp:positionH>
            <wp:positionV relativeFrom="paragraph">
              <wp:posOffset>-1287577</wp:posOffset>
            </wp:positionV>
            <wp:extent cx="9277350" cy="11458575"/>
            <wp:effectExtent l="19050" t="0" r="0" b="0"/>
            <wp:wrapNone/>
            <wp:docPr id="11" name="Afbeelding 2" descr="F:\Foto's\Luchtvaart\Contrails voorp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oto's\Luchtvaart\Contrails voorpag.jpg"/>
                    <pic:cNvPicPr>
                      <a:picLocks noChangeAspect="1" noChangeArrowheads="1"/>
                    </pic:cNvPicPr>
                  </pic:nvPicPr>
                  <pic:blipFill>
                    <a:blip r:embed="rId8" cstate="print"/>
                    <a:srcRect/>
                    <a:stretch>
                      <a:fillRect/>
                    </a:stretch>
                  </pic:blipFill>
                  <pic:spPr bwMode="auto">
                    <a:xfrm>
                      <a:off x="0" y="0"/>
                      <a:ext cx="9277350" cy="11458575"/>
                    </a:xfrm>
                    <a:prstGeom prst="rect">
                      <a:avLst/>
                    </a:prstGeom>
                    <a:noFill/>
                    <a:ln w="9525">
                      <a:noFill/>
                      <a:miter lim="800000"/>
                      <a:headEnd/>
                      <a:tailEnd/>
                    </a:ln>
                  </pic:spPr>
                </pic:pic>
              </a:graphicData>
            </a:graphic>
          </wp:anchor>
        </w:drawing>
      </w:r>
    </w:p>
    <w:p w:rsidR="00E44725" w:rsidRDefault="00E44725" w:rsidP="00E44725">
      <w:pPr>
        <w:rPr>
          <w:b/>
          <w:lang w:val="en-US"/>
        </w:rPr>
      </w:pPr>
    </w:p>
    <w:p w:rsidR="00E44725" w:rsidRDefault="00E44725" w:rsidP="00E44725">
      <w:pPr>
        <w:rPr>
          <w:b/>
          <w:lang w:val="en-US"/>
        </w:rPr>
      </w:pPr>
    </w:p>
    <w:p w:rsidR="00E44725" w:rsidRDefault="00E44725" w:rsidP="00E44725">
      <w:pPr>
        <w:rPr>
          <w:b/>
          <w:lang w:val="en-US"/>
        </w:rPr>
      </w:pPr>
    </w:p>
    <w:p w:rsidR="00E44725" w:rsidRDefault="00E44725" w:rsidP="00E44725">
      <w:pPr>
        <w:rPr>
          <w:b/>
          <w:lang w:val="en-US"/>
        </w:rPr>
      </w:pPr>
    </w:p>
    <w:p w:rsidR="00E44725" w:rsidRDefault="00E44725" w:rsidP="00E44725">
      <w:pPr>
        <w:rPr>
          <w:b/>
          <w:lang w:val="en-US"/>
        </w:rPr>
      </w:pPr>
    </w:p>
    <w:p w:rsidR="00E44725" w:rsidRDefault="00E44725" w:rsidP="00E44725">
      <w:pPr>
        <w:rPr>
          <w:b/>
          <w:lang w:val="en-US"/>
        </w:rPr>
      </w:pPr>
    </w:p>
    <w:p w:rsidR="00E44725" w:rsidRDefault="00E44725" w:rsidP="00E44725">
      <w:pPr>
        <w:rPr>
          <w:b/>
          <w:lang w:val="en-US"/>
        </w:rPr>
      </w:pPr>
    </w:p>
    <w:p w:rsidR="00E44725" w:rsidRDefault="00E44725" w:rsidP="00E44725">
      <w:pPr>
        <w:rPr>
          <w:b/>
          <w:lang w:val="en-US"/>
        </w:rPr>
      </w:pPr>
    </w:p>
    <w:p w:rsidR="00E44725" w:rsidRDefault="007453DE" w:rsidP="00E44725">
      <w:pPr>
        <w:rPr>
          <w:b/>
          <w:lang w:val="en-US"/>
        </w:rPr>
      </w:pPr>
      <w:r w:rsidRPr="007453DE">
        <w:rPr>
          <w:noProof/>
          <w:lang w:eastAsia="nl-NL"/>
        </w:rPr>
        <w:pict>
          <v:group id="_x0000_s1456" style="position:absolute;left:0;text-align:left;margin-left:.5pt;margin-top:10pt;width:394.55pt;height:499.5pt;z-index:252030976" coordorigin="2868,5311" coordsize="6825,9990">
            <v:group id="_x0000_s1446" style="position:absolute;left:5165;top:5311;width:1945;height:582" coordorigin="5040,15339" coordsize="1945,582">
              <v:shapetype id="_x0000_t202" coordsize="21600,21600" o:spt="202" path="m,l,21600r21600,l21600,xe">
                <v:stroke joinstyle="miter"/>
                <v:path gradientshapeok="t" o:connecttype="rect"/>
              </v:shapetype>
              <v:shape id="_x0000_s1447" type="#_x0000_t202" style="position:absolute;left:5905;top:15339;width:1080;height:582" filled="f" stroked="f">
                <v:textbox style="mso-next-textbox:#_x0000_s1447">
                  <w:txbxContent>
                    <w:p w:rsidR="00396735" w:rsidRPr="00FA7F4F" w:rsidRDefault="00396735" w:rsidP="00FA7F4F">
                      <w:pPr>
                        <w:rPr>
                          <w:rFonts w:ascii="Arial" w:hAnsi="Arial" w:cs="Arial"/>
                          <w:b/>
                          <w:i/>
                          <w:color w:val="9BF856"/>
                          <w:sz w:val="36"/>
                          <w:szCs w:val="36"/>
                        </w:rPr>
                      </w:pPr>
                      <w:r w:rsidRPr="00FA7F4F">
                        <w:rPr>
                          <w:rFonts w:ascii="Arial" w:hAnsi="Arial" w:cs="Arial"/>
                          <w:b/>
                          <w:i/>
                          <w:color w:val="9BF856"/>
                          <w:sz w:val="36"/>
                          <w:szCs w:val="36"/>
                        </w:rPr>
                        <w:t xml:space="preserve">WTL </w:t>
                      </w:r>
                    </w:p>
                  </w:txbxContent>
                </v:textbox>
              </v:shape>
              <v:group id="_x0000_s1448" style="position:absolute;left:5040;top:15480;width:973;height:345" coordorigin="5040,15480" coordsize="973,345">
                <v:oval id="_x0000_s1449" style="position:absolute;left:5040;top:15743;width:125;height:82;rotation:355" fillcolor="#36f" stroked="f">
                  <o:lock v:ext="edit" aspectratio="t"/>
                </v:oval>
                <v:oval id="_x0000_s1450" style="position:absolute;left:5191;top:15656;width:125;height:82;rotation:355" fillcolor="#09f" stroked="f">
                  <o:lock v:ext="edit" aspectratio="t"/>
                </v:oval>
                <v:oval id="_x0000_s1451" style="position:absolute;left:5358;top:15590;width:125;height:82;rotation:355" fillcolor="#0cf" stroked="f">
                  <o:lock v:ext="edit" aspectratio="t"/>
                </v:oval>
                <v:oval id="_x0000_s1452" style="position:absolute;left:5534;top:15538;width:125;height:82;rotation:355" fillcolor="#0c9" stroked="f">
                  <o:lock v:ext="edit" aspectratio="t"/>
                </v:oval>
                <v:oval id="_x0000_s1453" style="position:absolute;left:5710;top:15498;width:125;height:82;rotation:355" fillcolor="#3c3" stroked="f">
                  <o:lock v:ext="edit" aspectratio="t"/>
                </v:oval>
                <v:oval id="_x0000_s1454" style="position:absolute;left:5888;top:15480;width:125;height:82;rotation:355" fillcolor="lime" stroked="f">
                  <o:lock v:ext="edit" aspectratio="t"/>
                </v:oval>
              </v:group>
            </v:group>
            <v:group id="_x0000_s1455" style="position:absolute;left:2868;top:7155;width:6825;height:8146" coordorigin="2868,7155" coordsize="6825,8146">
              <v:shape id="_x0000_s1341" type="#_x0000_t202" style="position:absolute;left:3078;top:13045;width:6405;height:2256;mso-width-relative:margin;mso-height-relative:margin" o:regroupid="3" filled="f" stroked="f">
                <v:textbox style="mso-next-textbox:#_x0000_s1341">
                  <w:txbxContent>
                    <w:p w:rsidR="00396735" w:rsidRPr="00416940" w:rsidRDefault="00396735" w:rsidP="002E4F78">
                      <w:pPr>
                        <w:spacing w:after="200"/>
                        <w:jc w:val="center"/>
                        <w:rPr>
                          <w:b/>
                          <w:color w:val="FFFFFF" w:themeColor="background1"/>
                          <w:lang w:val="en-US"/>
                        </w:rPr>
                      </w:pPr>
                      <w:proofErr w:type="spellStart"/>
                      <w:r>
                        <w:rPr>
                          <w:b/>
                          <w:color w:val="FFFFFF" w:themeColor="background1"/>
                          <w:lang w:val="en-US"/>
                        </w:rPr>
                        <w:t>Werkgroep</w:t>
                      </w:r>
                      <w:proofErr w:type="spellEnd"/>
                      <w:r>
                        <w:rPr>
                          <w:b/>
                          <w:color w:val="FFFFFF" w:themeColor="background1"/>
                          <w:lang w:val="en-US"/>
                        </w:rPr>
                        <w:t xml:space="preserve"> </w:t>
                      </w:r>
                      <w:proofErr w:type="spellStart"/>
                      <w:r>
                        <w:rPr>
                          <w:b/>
                          <w:color w:val="FFFFFF" w:themeColor="background1"/>
                          <w:lang w:val="en-US"/>
                        </w:rPr>
                        <w:t>Toekomst</w:t>
                      </w:r>
                      <w:proofErr w:type="spellEnd"/>
                      <w:r>
                        <w:rPr>
                          <w:b/>
                          <w:color w:val="FFFFFF" w:themeColor="background1"/>
                          <w:lang w:val="en-US"/>
                        </w:rPr>
                        <w:t xml:space="preserve"> </w:t>
                      </w:r>
                      <w:proofErr w:type="spellStart"/>
                      <w:r>
                        <w:rPr>
                          <w:b/>
                          <w:color w:val="FFFFFF" w:themeColor="background1"/>
                          <w:lang w:val="en-US"/>
                        </w:rPr>
                        <w:t>Luchtvaart</w:t>
                      </w:r>
                      <w:proofErr w:type="spellEnd"/>
                      <w:r>
                        <w:rPr>
                          <w:b/>
                          <w:color w:val="FFFFFF" w:themeColor="background1"/>
                          <w:lang w:val="en-US"/>
                        </w:rPr>
                        <w:t xml:space="preserve"> (WTL)</w:t>
                      </w:r>
                    </w:p>
                    <w:p w:rsidR="00396735" w:rsidRPr="002E5389" w:rsidRDefault="00396735" w:rsidP="002E4F78">
                      <w:pPr>
                        <w:spacing w:after="200"/>
                        <w:rPr>
                          <w:lang w:val="en-US"/>
                        </w:rPr>
                      </w:pPr>
                      <w:r w:rsidRPr="002E5389">
                        <w:rPr>
                          <w:lang w:val="en-US"/>
                        </w:rPr>
                        <w:t xml:space="preserve">    </w:t>
                      </w:r>
                    </w:p>
                    <w:p w:rsidR="00396735" w:rsidRPr="00017EEF" w:rsidRDefault="00396735" w:rsidP="002E4F78">
                      <w:pPr>
                        <w:rPr>
                          <w:sz w:val="14"/>
                          <w:szCs w:val="14"/>
                          <w:lang w:val="en-US"/>
                        </w:rPr>
                      </w:pPr>
                    </w:p>
                    <w:p w:rsidR="00396735" w:rsidRPr="00017EEF" w:rsidRDefault="00396735" w:rsidP="002E4F78">
                      <w:pPr>
                        <w:rPr>
                          <w:lang w:val="en-US"/>
                        </w:rPr>
                      </w:pPr>
                    </w:p>
                  </w:txbxContent>
                </v:textbox>
              </v:shape>
              <v:shape id="_x0000_s1342" type="#_x0000_t202" style="position:absolute;left:2868;top:7155;width:6825;height:4835;mso-width-relative:margin;mso-height-relative:margin" o:regroupid="3" filled="f" stroked="f">
                <v:textbox style="mso-next-textbox:#_x0000_s1342">
                  <w:txbxContent>
                    <w:p w:rsidR="00396735" w:rsidRPr="00533ACE" w:rsidRDefault="00396735" w:rsidP="002E4F78">
                      <w:pPr>
                        <w:spacing w:after="200"/>
                        <w:jc w:val="center"/>
                        <w:rPr>
                          <w:rFonts w:asciiTheme="majorHAnsi" w:hAnsiTheme="majorHAnsi"/>
                          <w:shadow/>
                          <w:color w:val="99FF33"/>
                          <w:sz w:val="72"/>
                          <w:szCs w:val="72"/>
                        </w:rPr>
                      </w:pPr>
                      <w:r w:rsidRPr="00533ACE">
                        <w:rPr>
                          <w:rFonts w:asciiTheme="majorHAnsi" w:hAnsiTheme="majorHAnsi"/>
                          <w:shadow/>
                          <w:color w:val="99FF33"/>
                          <w:sz w:val="72"/>
                          <w:szCs w:val="72"/>
                        </w:rPr>
                        <w:t>Luchtvaart en klimaat in de EU</w:t>
                      </w:r>
                    </w:p>
                    <w:p w:rsidR="00396735" w:rsidRPr="00533ACE" w:rsidRDefault="00396735" w:rsidP="002E4F78"/>
                  </w:txbxContent>
                </v:textbox>
              </v:shape>
            </v:group>
          </v:group>
        </w:pict>
      </w:r>
    </w:p>
    <w:p w:rsidR="00E44725" w:rsidRDefault="00E44725" w:rsidP="00E44725">
      <w:pPr>
        <w:rPr>
          <w:b/>
          <w:lang w:val="en-US"/>
        </w:rPr>
      </w:pPr>
    </w:p>
    <w:p w:rsidR="00E44725" w:rsidRDefault="00E44725" w:rsidP="00E44725">
      <w:pPr>
        <w:rPr>
          <w:b/>
          <w:lang w:val="en-US"/>
        </w:rPr>
      </w:pPr>
    </w:p>
    <w:p w:rsidR="00E44725" w:rsidRDefault="00E44725" w:rsidP="00E44725">
      <w:pPr>
        <w:rPr>
          <w:b/>
          <w:lang w:val="en-US"/>
        </w:rPr>
      </w:pPr>
    </w:p>
    <w:p w:rsidR="00E44725" w:rsidRDefault="00E44725" w:rsidP="00E44725">
      <w:pPr>
        <w:rPr>
          <w:b/>
          <w:lang w:val="en-US"/>
        </w:rPr>
      </w:pPr>
    </w:p>
    <w:p w:rsidR="00E44725" w:rsidRDefault="00E44725" w:rsidP="00E44725">
      <w:pPr>
        <w:rPr>
          <w:b/>
          <w:lang w:val="en-US"/>
        </w:rPr>
      </w:pPr>
    </w:p>
    <w:p w:rsidR="00E44725" w:rsidRDefault="00E44725" w:rsidP="00E44725">
      <w:pPr>
        <w:rPr>
          <w:b/>
          <w:lang w:val="en-US"/>
        </w:rPr>
      </w:pPr>
    </w:p>
    <w:p w:rsidR="00E44725" w:rsidRDefault="00E44725" w:rsidP="00E44725">
      <w:pPr>
        <w:rPr>
          <w:b/>
          <w:lang w:val="en-US"/>
        </w:rPr>
      </w:pPr>
    </w:p>
    <w:p w:rsidR="0051718C" w:rsidRDefault="0051718C">
      <w:pPr>
        <w:spacing w:after="200"/>
        <w:jc w:val="left"/>
        <w:rPr>
          <w:b/>
          <w:lang w:val="en-US"/>
        </w:rPr>
      </w:pPr>
      <w:r>
        <w:rPr>
          <w:b/>
          <w:lang w:val="en-US"/>
        </w:rPr>
        <w:br w:type="page"/>
      </w:r>
    </w:p>
    <w:p w:rsidR="00FA795F" w:rsidRPr="00417F30" w:rsidRDefault="00FA795F">
      <w:pPr>
        <w:spacing w:after="200"/>
        <w:jc w:val="left"/>
        <w:rPr>
          <w:lang w:val="en-US"/>
        </w:rPr>
        <w:sectPr w:rsidR="00FA795F" w:rsidRPr="00417F30" w:rsidSect="00FA795F">
          <w:headerReference w:type="default" r:id="rId9"/>
          <w:pgSz w:w="11906" w:h="16838"/>
          <w:pgMar w:top="1560" w:right="1985" w:bottom="993" w:left="1985" w:header="708" w:footer="708" w:gutter="0"/>
          <w:cols w:space="708"/>
          <w:docGrid w:linePitch="360"/>
        </w:sectPr>
      </w:pPr>
      <w:bookmarkStart w:id="0" w:name="_Toc348854966"/>
    </w:p>
    <w:bookmarkEnd w:id="0"/>
    <w:p w:rsidR="0081189C" w:rsidRDefault="0081189C">
      <w:pPr>
        <w:spacing w:after="200"/>
        <w:jc w:val="left"/>
      </w:pPr>
    </w:p>
    <w:p w:rsidR="008151DB" w:rsidRDefault="008151DB">
      <w:pPr>
        <w:spacing w:after="200"/>
        <w:jc w:val="left"/>
      </w:pPr>
    </w:p>
    <w:p w:rsidR="008151DB" w:rsidRDefault="008151DB">
      <w:pPr>
        <w:spacing w:after="200"/>
        <w:jc w:val="left"/>
      </w:pPr>
    </w:p>
    <w:p w:rsidR="008151DB" w:rsidRDefault="008151DB">
      <w:pPr>
        <w:spacing w:after="200"/>
        <w:jc w:val="left"/>
      </w:pPr>
    </w:p>
    <w:p w:rsidR="008151DB" w:rsidRDefault="008151DB">
      <w:pPr>
        <w:spacing w:after="200"/>
        <w:jc w:val="left"/>
      </w:pPr>
    </w:p>
    <w:p w:rsidR="008151DB" w:rsidRDefault="008151DB">
      <w:pPr>
        <w:spacing w:after="200"/>
        <w:jc w:val="left"/>
      </w:pPr>
    </w:p>
    <w:p w:rsidR="008151DB" w:rsidRPr="0081189C" w:rsidRDefault="008151DB" w:rsidP="00253ADD"/>
    <w:bookmarkStart w:id="1" w:name="_Toc348854967" w:displacedByCustomXml="next"/>
    <w:sdt>
      <w:sdtPr>
        <w:rPr>
          <w:bCs/>
        </w:rPr>
        <w:id w:val="33618871"/>
        <w:docPartObj>
          <w:docPartGallery w:val="Table of Contents"/>
          <w:docPartUnique/>
        </w:docPartObj>
      </w:sdtPr>
      <w:sdtEndPr>
        <w:rPr>
          <w:bCs w:val="0"/>
        </w:rPr>
      </w:sdtEndPr>
      <w:sdtContent>
        <w:p w:rsidR="00E23981" w:rsidRPr="00FF31E9" w:rsidRDefault="00AA453E" w:rsidP="00E75AC7">
          <w:pPr>
            <w:rPr>
              <w:lang w:val="en-US"/>
            </w:rPr>
          </w:pPr>
          <w:proofErr w:type="spellStart"/>
          <w:r w:rsidRPr="0059421B">
            <w:rPr>
              <w:rFonts w:ascii="Verdana" w:hAnsi="Verdana"/>
              <w:color w:val="17365D" w:themeColor="text2" w:themeShade="BF"/>
              <w:sz w:val="26"/>
              <w:szCs w:val="26"/>
              <w:lang w:val="en-US"/>
            </w:rPr>
            <w:t>Inhoud</w:t>
          </w:r>
          <w:proofErr w:type="spellEnd"/>
        </w:p>
        <w:p w:rsidR="002C40D2" w:rsidRDefault="007453DE">
          <w:pPr>
            <w:pStyle w:val="Inhopg2"/>
            <w:tabs>
              <w:tab w:val="right" w:leader="dot" w:pos="8069"/>
            </w:tabs>
            <w:rPr>
              <w:rFonts w:eastAsiaTheme="minorEastAsia"/>
              <w:noProof/>
              <w:sz w:val="22"/>
              <w:lang w:eastAsia="nl-NL"/>
            </w:rPr>
          </w:pPr>
          <w:r>
            <w:fldChar w:fldCharType="begin"/>
          </w:r>
          <w:r w:rsidR="00E23981">
            <w:instrText xml:space="preserve"> TOC \o "1-3" \h \z \u </w:instrText>
          </w:r>
          <w:r>
            <w:fldChar w:fldCharType="separate"/>
          </w:r>
          <w:hyperlink w:anchor="_Toc349748367" w:history="1">
            <w:r w:rsidR="002C40D2" w:rsidRPr="00347415">
              <w:rPr>
                <w:rStyle w:val="Hyperlink"/>
                <w:noProof/>
              </w:rPr>
              <w:t>Samenvatting  .</w:t>
            </w:r>
            <w:r w:rsidR="002C40D2">
              <w:rPr>
                <w:noProof/>
                <w:webHidden/>
              </w:rPr>
              <w:tab/>
            </w:r>
            <w:r>
              <w:rPr>
                <w:noProof/>
                <w:webHidden/>
              </w:rPr>
              <w:fldChar w:fldCharType="begin"/>
            </w:r>
            <w:r w:rsidR="002C40D2">
              <w:rPr>
                <w:noProof/>
                <w:webHidden/>
              </w:rPr>
              <w:instrText xml:space="preserve"> PAGEREF _Toc349748367 \h </w:instrText>
            </w:r>
            <w:r>
              <w:rPr>
                <w:noProof/>
                <w:webHidden/>
              </w:rPr>
            </w:r>
            <w:r>
              <w:rPr>
                <w:noProof/>
                <w:webHidden/>
              </w:rPr>
              <w:fldChar w:fldCharType="separate"/>
            </w:r>
            <w:r w:rsidR="008E3755">
              <w:rPr>
                <w:noProof/>
                <w:webHidden/>
              </w:rPr>
              <w:t>1</w:t>
            </w:r>
            <w:r>
              <w:rPr>
                <w:noProof/>
                <w:webHidden/>
              </w:rPr>
              <w:fldChar w:fldCharType="end"/>
            </w:r>
          </w:hyperlink>
        </w:p>
        <w:p w:rsidR="002C40D2" w:rsidRDefault="007453DE">
          <w:pPr>
            <w:pStyle w:val="Inhopg2"/>
            <w:tabs>
              <w:tab w:val="right" w:leader="dot" w:pos="8069"/>
            </w:tabs>
            <w:rPr>
              <w:rFonts w:eastAsiaTheme="minorEastAsia"/>
              <w:noProof/>
              <w:sz w:val="22"/>
              <w:lang w:eastAsia="nl-NL"/>
            </w:rPr>
          </w:pPr>
          <w:hyperlink w:anchor="_Toc349748368" w:history="1">
            <w:r w:rsidR="002C40D2" w:rsidRPr="00347415">
              <w:rPr>
                <w:rStyle w:val="Hyperlink"/>
                <w:noProof/>
              </w:rPr>
              <w:t>1. Luchtvaart in een opwarmend klimaat   .</w:t>
            </w:r>
            <w:r w:rsidR="002C40D2">
              <w:rPr>
                <w:noProof/>
                <w:webHidden/>
              </w:rPr>
              <w:tab/>
            </w:r>
            <w:r>
              <w:rPr>
                <w:noProof/>
                <w:webHidden/>
              </w:rPr>
              <w:fldChar w:fldCharType="begin"/>
            </w:r>
            <w:r w:rsidR="002C40D2">
              <w:rPr>
                <w:noProof/>
                <w:webHidden/>
              </w:rPr>
              <w:instrText xml:space="preserve"> PAGEREF _Toc349748368 \h </w:instrText>
            </w:r>
            <w:r>
              <w:rPr>
                <w:noProof/>
                <w:webHidden/>
              </w:rPr>
            </w:r>
            <w:r>
              <w:rPr>
                <w:noProof/>
                <w:webHidden/>
              </w:rPr>
              <w:fldChar w:fldCharType="separate"/>
            </w:r>
            <w:r w:rsidR="008E3755">
              <w:rPr>
                <w:noProof/>
                <w:webHidden/>
              </w:rPr>
              <w:t>2</w:t>
            </w:r>
            <w:r>
              <w:rPr>
                <w:noProof/>
                <w:webHidden/>
              </w:rPr>
              <w:fldChar w:fldCharType="end"/>
            </w:r>
          </w:hyperlink>
        </w:p>
        <w:p w:rsidR="002C40D2" w:rsidRDefault="007453DE">
          <w:pPr>
            <w:pStyle w:val="Inhopg2"/>
            <w:tabs>
              <w:tab w:val="right" w:leader="dot" w:pos="8069"/>
            </w:tabs>
            <w:rPr>
              <w:rFonts w:eastAsiaTheme="minorEastAsia"/>
              <w:noProof/>
              <w:sz w:val="22"/>
              <w:lang w:eastAsia="nl-NL"/>
            </w:rPr>
          </w:pPr>
          <w:hyperlink w:anchor="_Toc349748369" w:history="1">
            <w:r w:rsidR="002C40D2" w:rsidRPr="00347415">
              <w:rPr>
                <w:rStyle w:val="Hyperlink"/>
                <w:noProof/>
              </w:rPr>
              <w:t>2. Economische gevolgen van een groeistop in de luchtvaart</w:t>
            </w:r>
            <w:r w:rsidR="002C40D2">
              <w:rPr>
                <w:noProof/>
                <w:webHidden/>
              </w:rPr>
              <w:tab/>
            </w:r>
            <w:r>
              <w:rPr>
                <w:noProof/>
                <w:webHidden/>
              </w:rPr>
              <w:fldChar w:fldCharType="begin"/>
            </w:r>
            <w:r w:rsidR="002C40D2">
              <w:rPr>
                <w:noProof/>
                <w:webHidden/>
              </w:rPr>
              <w:instrText xml:space="preserve"> PAGEREF _Toc349748369 \h </w:instrText>
            </w:r>
            <w:r>
              <w:rPr>
                <w:noProof/>
                <w:webHidden/>
              </w:rPr>
            </w:r>
            <w:r>
              <w:rPr>
                <w:noProof/>
                <w:webHidden/>
              </w:rPr>
              <w:fldChar w:fldCharType="separate"/>
            </w:r>
            <w:r w:rsidR="008E3755">
              <w:rPr>
                <w:noProof/>
                <w:webHidden/>
              </w:rPr>
              <w:t>4</w:t>
            </w:r>
            <w:r>
              <w:rPr>
                <w:noProof/>
                <w:webHidden/>
              </w:rPr>
              <w:fldChar w:fldCharType="end"/>
            </w:r>
          </w:hyperlink>
        </w:p>
        <w:p w:rsidR="002C40D2" w:rsidRDefault="007453DE">
          <w:pPr>
            <w:pStyle w:val="Inhopg2"/>
            <w:tabs>
              <w:tab w:val="right" w:leader="dot" w:pos="8069"/>
            </w:tabs>
            <w:rPr>
              <w:rFonts w:eastAsiaTheme="minorEastAsia"/>
              <w:noProof/>
              <w:sz w:val="22"/>
              <w:lang w:eastAsia="nl-NL"/>
            </w:rPr>
          </w:pPr>
          <w:hyperlink w:anchor="_Toc349748370" w:history="1">
            <w:r w:rsidR="002C40D2" w:rsidRPr="00347415">
              <w:rPr>
                <w:rStyle w:val="Hyperlink"/>
                <w:noProof/>
              </w:rPr>
              <w:t>3. Duurzame groei met hogesnelheidstreinen</w:t>
            </w:r>
            <w:r w:rsidR="002C40D2">
              <w:rPr>
                <w:noProof/>
                <w:webHidden/>
              </w:rPr>
              <w:tab/>
            </w:r>
            <w:r>
              <w:rPr>
                <w:noProof/>
                <w:webHidden/>
              </w:rPr>
              <w:fldChar w:fldCharType="begin"/>
            </w:r>
            <w:r w:rsidR="002C40D2">
              <w:rPr>
                <w:noProof/>
                <w:webHidden/>
              </w:rPr>
              <w:instrText xml:space="preserve"> PAGEREF _Toc349748370 \h </w:instrText>
            </w:r>
            <w:r>
              <w:rPr>
                <w:noProof/>
                <w:webHidden/>
              </w:rPr>
            </w:r>
            <w:r>
              <w:rPr>
                <w:noProof/>
                <w:webHidden/>
              </w:rPr>
              <w:fldChar w:fldCharType="separate"/>
            </w:r>
            <w:r w:rsidR="008E3755">
              <w:rPr>
                <w:noProof/>
                <w:webHidden/>
              </w:rPr>
              <w:t>5</w:t>
            </w:r>
            <w:r>
              <w:rPr>
                <w:noProof/>
                <w:webHidden/>
              </w:rPr>
              <w:fldChar w:fldCharType="end"/>
            </w:r>
          </w:hyperlink>
        </w:p>
        <w:p w:rsidR="002C40D2" w:rsidRDefault="007453DE">
          <w:pPr>
            <w:pStyle w:val="Inhopg2"/>
            <w:tabs>
              <w:tab w:val="right" w:leader="dot" w:pos="8069"/>
            </w:tabs>
            <w:rPr>
              <w:rFonts w:eastAsiaTheme="minorEastAsia"/>
              <w:noProof/>
              <w:sz w:val="22"/>
              <w:lang w:eastAsia="nl-NL"/>
            </w:rPr>
          </w:pPr>
          <w:hyperlink w:anchor="_Toc349748371" w:history="1">
            <w:r w:rsidR="002C40D2" w:rsidRPr="00347415">
              <w:rPr>
                <w:rStyle w:val="Hyperlink"/>
                <w:noProof/>
              </w:rPr>
              <w:t>4. Drie segmenten van de EU vervoermarkt.</w:t>
            </w:r>
            <w:r w:rsidR="002C40D2">
              <w:rPr>
                <w:noProof/>
                <w:webHidden/>
              </w:rPr>
              <w:tab/>
            </w:r>
            <w:r>
              <w:rPr>
                <w:noProof/>
                <w:webHidden/>
              </w:rPr>
              <w:fldChar w:fldCharType="begin"/>
            </w:r>
            <w:r w:rsidR="002C40D2">
              <w:rPr>
                <w:noProof/>
                <w:webHidden/>
              </w:rPr>
              <w:instrText xml:space="preserve"> PAGEREF _Toc349748371 \h </w:instrText>
            </w:r>
            <w:r>
              <w:rPr>
                <w:noProof/>
                <w:webHidden/>
              </w:rPr>
            </w:r>
            <w:r>
              <w:rPr>
                <w:noProof/>
                <w:webHidden/>
              </w:rPr>
              <w:fldChar w:fldCharType="separate"/>
            </w:r>
            <w:r w:rsidR="008E3755">
              <w:rPr>
                <w:noProof/>
                <w:webHidden/>
              </w:rPr>
              <w:t>6</w:t>
            </w:r>
            <w:r>
              <w:rPr>
                <w:noProof/>
                <w:webHidden/>
              </w:rPr>
              <w:fldChar w:fldCharType="end"/>
            </w:r>
          </w:hyperlink>
        </w:p>
        <w:p w:rsidR="002C40D2" w:rsidRDefault="007453DE">
          <w:pPr>
            <w:pStyle w:val="Inhopg2"/>
            <w:tabs>
              <w:tab w:val="right" w:leader="dot" w:pos="8069"/>
            </w:tabs>
            <w:rPr>
              <w:rFonts w:eastAsiaTheme="minorEastAsia"/>
              <w:noProof/>
              <w:sz w:val="22"/>
              <w:lang w:eastAsia="nl-NL"/>
            </w:rPr>
          </w:pPr>
          <w:hyperlink w:anchor="_Toc349748372" w:history="1">
            <w:r w:rsidR="002C40D2" w:rsidRPr="00347415">
              <w:rPr>
                <w:rStyle w:val="Hyperlink"/>
                <w:noProof/>
              </w:rPr>
              <w:t>5. Groeistop op luchthavens van de EU  .</w:t>
            </w:r>
            <w:r w:rsidR="002C40D2">
              <w:rPr>
                <w:noProof/>
                <w:webHidden/>
              </w:rPr>
              <w:tab/>
            </w:r>
            <w:r>
              <w:rPr>
                <w:noProof/>
                <w:webHidden/>
              </w:rPr>
              <w:fldChar w:fldCharType="begin"/>
            </w:r>
            <w:r w:rsidR="002C40D2">
              <w:rPr>
                <w:noProof/>
                <w:webHidden/>
              </w:rPr>
              <w:instrText xml:space="preserve"> PAGEREF _Toc349748372 \h </w:instrText>
            </w:r>
            <w:r>
              <w:rPr>
                <w:noProof/>
                <w:webHidden/>
              </w:rPr>
            </w:r>
            <w:r>
              <w:rPr>
                <w:noProof/>
                <w:webHidden/>
              </w:rPr>
              <w:fldChar w:fldCharType="separate"/>
            </w:r>
            <w:r w:rsidR="008E3755">
              <w:rPr>
                <w:noProof/>
                <w:webHidden/>
              </w:rPr>
              <w:t>7</w:t>
            </w:r>
            <w:r>
              <w:rPr>
                <w:noProof/>
                <w:webHidden/>
              </w:rPr>
              <w:fldChar w:fldCharType="end"/>
            </w:r>
          </w:hyperlink>
        </w:p>
        <w:p w:rsidR="002C40D2" w:rsidRDefault="007453DE">
          <w:pPr>
            <w:pStyle w:val="Inhopg2"/>
            <w:tabs>
              <w:tab w:val="right" w:leader="dot" w:pos="8069"/>
            </w:tabs>
            <w:rPr>
              <w:rFonts w:eastAsiaTheme="minorEastAsia"/>
              <w:noProof/>
              <w:sz w:val="22"/>
              <w:lang w:eastAsia="nl-NL"/>
            </w:rPr>
          </w:pPr>
          <w:hyperlink w:anchor="_Toc349748373" w:history="1">
            <w:r w:rsidR="002C40D2" w:rsidRPr="00347415">
              <w:rPr>
                <w:rStyle w:val="Hyperlink"/>
                <w:noProof/>
                <w:lang w:val="en-US"/>
              </w:rPr>
              <w:t>Bronnen  .</w:t>
            </w:r>
            <w:r w:rsidR="002C40D2">
              <w:rPr>
                <w:noProof/>
                <w:webHidden/>
              </w:rPr>
              <w:tab/>
            </w:r>
            <w:r>
              <w:rPr>
                <w:noProof/>
                <w:webHidden/>
              </w:rPr>
              <w:fldChar w:fldCharType="begin"/>
            </w:r>
            <w:r w:rsidR="002C40D2">
              <w:rPr>
                <w:noProof/>
                <w:webHidden/>
              </w:rPr>
              <w:instrText xml:space="preserve"> PAGEREF _Toc349748373 \h </w:instrText>
            </w:r>
            <w:r>
              <w:rPr>
                <w:noProof/>
                <w:webHidden/>
              </w:rPr>
            </w:r>
            <w:r>
              <w:rPr>
                <w:noProof/>
                <w:webHidden/>
              </w:rPr>
              <w:fldChar w:fldCharType="separate"/>
            </w:r>
            <w:r w:rsidR="008E3755">
              <w:rPr>
                <w:noProof/>
                <w:webHidden/>
              </w:rPr>
              <w:t>8</w:t>
            </w:r>
            <w:r>
              <w:rPr>
                <w:noProof/>
                <w:webHidden/>
              </w:rPr>
              <w:fldChar w:fldCharType="end"/>
            </w:r>
          </w:hyperlink>
        </w:p>
        <w:p w:rsidR="002C40D2" w:rsidRDefault="007453DE">
          <w:pPr>
            <w:pStyle w:val="Inhopg2"/>
            <w:tabs>
              <w:tab w:val="right" w:leader="dot" w:pos="8069"/>
            </w:tabs>
            <w:rPr>
              <w:rFonts w:eastAsiaTheme="minorEastAsia"/>
              <w:noProof/>
              <w:sz w:val="22"/>
              <w:lang w:eastAsia="nl-NL"/>
            </w:rPr>
          </w:pPr>
          <w:hyperlink w:anchor="_Toc349748374" w:history="1">
            <w:r w:rsidR="002C40D2" w:rsidRPr="00347415">
              <w:rPr>
                <w:rStyle w:val="Hyperlink"/>
                <w:noProof/>
                <w:lang w:val="en-US"/>
              </w:rPr>
              <w:t>Afkortingen</w:t>
            </w:r>
            <w:r w:rsidR="002C40D2">
              <w:rPr>
                <w:noProof/>
                <w:webHidden/>
              </w:rPr>
              <w:tab/>
            </w:r>
            <w:r>
              <w:rPr>
                <w:noProof/>
                <w:webHidden/>
              </w:rPr>
              <w:fldChar w:fldCharType="begin"/>
            </w:r>
            <w:r w:rsidR="002C40D2">
              <w:rPr>
                <w:noProof/>
                <w:webHidden/>
              </w:rPr>
              <w:instrText xml:space="preserve"> PAGEREF _Toc349748374 \h </w:instrText>
            </w:r>
            <w:r>
              <w:rPr>
                <w:noProof/>
                <w:webHidden/>
              </w:rPr>
            </w:r>
            <w:r>
              <w:rPr>
                <w:noProof/>
                <w:webHidden/>
              </w:rPr>
              <w:fldChar w:fldCharType="separate"/>
            </w:r>
            <w:r w:rsidR="008E3755">
              <w:rPr>
                <w:noProof/>
                <w:webHidden/>
              </w:rPr>
              <w:t>9</w:t>
            </w:r>
            <w:r>
              <w:rPr>
                <w:noProof/>
                <w:webHidden/>
              </w:rPr>
              <w:fldChar w:fldCharType="end"/>
            </w:r>
          </w:hyperlink>
        </w:p>
        <w:p w:rsidR="00E23981" w:rsidRDefault="007453DE">
          <w:r>
            <w:fldChar w:fldCharType="end"/>
          </w:r>
        </w:p>
      </w:sdtContent>
    </w:sdt>
    <w:p w:rsidR="0020656B" w:rsidRDefault="0020656B" w:rsidP="00396735">
      <w:pPr>
        <w:spacing w:after="200"/>
        <w:jc w:val="left"/>
      </w:pPr>
      <w:r w:rsidRPr="005A4BA2">
        <w:t xml:space="preserve">Dit rapport is bestemd voor beleidsmakers. </w:t>
      </w:r>
      <w:r w:rsidR="00396735">
        <w:t xml:space="preserve">De Nederlandstalige versie wordt uitgebracht zonder de Engelstalige Appendix. Deze </w:t>
      </w:r>
      <w:r w:rsidRPr="005A4BA2">
        <w:t xml:space="preserve"> </w:t>
      </w:r>
      <w:r w:rsidRPr="005F31C7">
        <w:t xml:space="preserve">is bestemd voor experts die de wetenschappelijke onderbouwing van onze conclusies willen nagaan. </w:t>
      </w:r>
      <w:r>
        <w:t xml:space="preserve">De Engelstalige versie </w:t>
      </w:r>
      <w:r w:rsidR="00396735">
        <w:t>met Appendix is</w:t>
      </w:r>
      <w:r>
        <w:t xml:space="preserve"> te downloaden op:</w:t>
      </w:r>
      <w:r w:rsidR="00396735">
        <w:t xml:space="preserve"> </w:t>
      </w:r>
      <w:hyperlink r:id="rId10" w:history="1">
        <w:r w:rsidRPr="009B26BF">
          <w:rPr>
            <w:rStyle w:val="Hyperlink"/>
          </w:rPr>
          <w:t>www.toekomstluchtvaart.nl</w:t>
        </w:r>
      </w:hyperlink>
    </w:p>
    <w:p w:rsidR="0020656B" w:rsidRPr="00C9147A" w:rsidRDefault="0020656B" w:rsidP="0020656B">
      <w:pPr>
        <w:rPr>
          <w:rFonts w:asciiTheme="majorHAnsi" w:eastAsiaTheme="majorEastAsia" w:hAnsiTheme="majorHAnsi" w:cstheme="majorBidi"/>
          <w:bCs/>
          <w:color w:val="1F497D" w:themeColor="text2"/>
          <w:sz w:val="32"/>
          <w:szCs w:val="26"/>
        </w:rPr>
      </w:pPr>
      <w:r w:rsidRPr="00C9147A">
        <w:t xml:space="preserve">Amsterdam, </w:t>
      </w:r>
      <w:r w:rsidR="00396735">
        <w:t xml:space="preserve">1 </w:t>
      </w:r>
      <w:r w:rsidRPr="00C9147A">
        <w:t>maart 2013</w:t>
      </w:r>
    </w:p>
    <w:p w:rsidR="008151DB" w:rsidRDefault="008151DB" w:rsidP="008151DB">
      <w:pPr>
        <w:rPr>
          <w:b/>
        </w:rPr>
      </w:pPr>
    </w:p>
    <w:p w:rsidR="008151DB" w:rsidRPr="00FB03B7" w:rsidRDefault="008151DB" w:rsidP="008151DB">
      <w:r w:rsidRPr="00FB03B7">
        <w:rPr>
          <w:b/>
        </w:rPr>
        <w:t>Auteurs</w:t>
      </w:r>
    </w:p>
    <w:p w:rsidR="008151DB" w:rsidRPr="00FB03B7" w:rsidRDefault="008151DB" w:rsidP="008151DB">
      <w:pPr>
        <w:jc w:val="left"/>
        <w:rPr>
          <w:sz w:val="18"/>
          <w:szCs w:val="18"/>
        </w:rPr>
      </w:pPr>
      <w:r w:rsidRPr="00FB03B7">
        <w:rPr>
          <w:b/>
          <w:sz w:val="18"/>
          <w:szCs w:val="18"/>
        </w:rPr>
        <w:t xml:space="preserve">Hans </w:t>
      </w:r>
      <w:proofErr w:type="spellStart"/>
      <w:r w:rsidRPr="00FB03B7">
        <w:rPr>
          <w:b/>
          <w:sz w:val="18"/>
          <w:szCs w:val="18"/>
        </w:rPr>
        <w:t>Buurma</w:t>
      </w:r>
      <w:proofErr w:type="spellEnd"/>
      <w:r w:rsidRPr="00FB03B7">
        <w:rPr>
          <w:sz w:val="18"/>
          <w:szCs w:val="18"/>
        </w:rPr>
        <w:t xml:space="preserve">, </w:t>
      </w:r>
      <w:proofErr w:type="spellStart"/>
      <w:r w:rsidRPr="00FB03B7">
        <w:rPr>
          <w:sz w:val="18"/>
          <w:szCs w:val="18"/>
        </w:rPr>
        <w:t>mr</w:t>
      </w:r>
      <w:proofErr w:type="spellEnd"/>
      <w:r w:rsidRPr="00FB03B7">
        <w:rPr>
          <w:sz w:val="18"/>
          <w:szCs w:val="18"/>
        </w:rPr>
        <w:t xml:space="preserve"> </w:t>
      </w:r>
      <w:proofErr w:type="spellStart"/>
      <w:r w:rsidRPr="00FB03B7">
        <w:rPr>
          <w:sz w:val="18"/>
          <w:szCs w:val="18"/>
        </w:rPr>
        <w:t>dr</w:t>
      </w:r>
      <w:proofErr w:type="spellEnd"/>
      <w:r w:rsidRPr="00FB03B7">
        <w:rPr>
          <w:sz w:val="18"/>
          <w:szCs w:val="18"/>
        </w:rPr>
        <w:t xml:space="preserve">, vliegtuigbouwkundig </w:t>
      </w:r>
      <w:proofErr w:type="spellStart"/>
      <w:r w:rsidRPr="00FB03B7">
        <w:rPr>
          <w:sz w:val="18"/>
          <w:szCs w:val="18"/>
        </w:rPr>
        <w:t>ing</w:t>
      </w:r>
      <w:proofErr w:type="spellEnd"/>
      <w:r w:rsidRPr="00FB03B7">
        <w:rPr>
          <w:sz w:val="18"/>
          <w:szCs w:val="18"/>
        </w:rPr>
        <w:t xml:space="preserve">  </w:t>
      </w:r>
    </w:p>
    <w:p w:rsidR="008151DB" w:rsidRPr="00FB03B7" w:rsidRDefault="008151DB" w:rsidP="008151DB">
      <w:pPr>
        <w:jc w:val="left"/>
        <w:rPr>
          <w:sz w:val="18"/>
          <w:szCs w:val="18"/>
        </w:rPr>
      </w:pPr>
      <w:r w:rsidRPr="00FB03B7">
        <w:rPr>
          <w:b/>
          <w:sz w:val="18"/>
          <w:szCs w:val="18"/>
        </w:rPr>
        <w:t>Bernard Gerard</w:t>
      </w:r>
      <w:r w:rsidRPr="00FB03B7">
        <w:rPr>
          <w:sz w:val="18"/>
          <w:szCs w:val="18"/>
        </w:rPr>
        <w:t xml:space="preserve">, </w:t>
      </w:r>
      <w:proofErr w:type="spellStart"/>
      <w:r>
        <w:rPr>
          <w:sz w:val="18"/>
          <w:szCs w:val="18"/>
        </w:rPr>
        <w:t>drs</w:t>
      </w:r>
      <w:proofErr w:type="spellEnd"/>
      <w:r>
        <w:rPr>
          <w:sz w:val="18"/>
          <w:szCs w:val="18"/>
        </w:rPr>
        <w:t xml:space="preserve"> theoretische natuurkunde</w:t>
      </w:r>
    </w:p>
    <w:p w:rsidR="008151DB" w:rsidRDefault="008151DB" w:rsidP="008151DB">
      <w:pPr>
        <w:jc w:val="left"/>
        <w:rPr>
          <w:sz w:val="18"/>
          <w:szCs w:val="18"/>
        </w:rPr>
      </w:pPr>
      <w:r w:rsidRPr="00A503A5">
        <w:rPr>
          <w:b/>
          <w:sz w:val="18"/>
          <w:szCs w:val="18"/>
        </w:rPr>
        <w:t>Jaap de Groot</w:t>
      </w:r>
      <w:r>
        <w:rPr>
          <w:sz w:val="18"/>
          <w:szCs w:val="18"/>
        </w:rPr>
        <w:t>, RA</w:t>
      </w:r>
      <w:r w:rsidRPr="00142060">
        <w:rPr>
          <w:sz w:val="18"/>
          <w:szCs w:val="18"/>
        </w:rPr>
        <w:t xml:space="preserve"> </w:t>
      </w:r>
    </w:p>
    <w:p w:rsidR="008151DB" w:rsidRPr="001F13EF" w:rsidRDefault="008151DB" w:rsidP="008151DB">
      <w:pPr>
        <w:jc w:val="left"/>
        <w:rPr>
          <w:sz w:val="18"/>
          <w:szCs w:val="18"/>
        </w:rPr>
      </w:pPr>
      <w:r w:rsidRPr="001F13EF">
        <w:rPr>
          <w:b/>
          <w:sz w:val="18"/>
          <w:szCs w:val="18"/>
        </w:rPr>
        <w:t xml:space="preserve">Jaap de Jong </w:t>
      </w:r>
    </w:p>
    <w:p w:rsidR="008151DB" w:rsidRPr="001F13EF" w:rsidRDefault="008151DB" w:rsidP="008151DB"/>
    <w:p w:rsidR="0020656B" w:rsidRDefault="0020656B" w:rsidP="0020656B">
      <w:pPr>
        <w:spacing w:after="0"/>
        <w:jc w:val="left"/>
        <w:rPr>
          <w:sz w:val="18"/>
          <w:szCs w:val="18"/>
        </w:rPr>
      </w:pPr>
    </w:p>
    <w:p w:rsidR="0020656B" w:rsidRDefault="00533ACE" w:rsidP="0020656B">
      <w:pPr>
        <w:spacing w:after="0"/>
        <w:jc w:val="left"/>
        <w:rPr>
          <w:sz w:val="18"/>
          <w:szCs w:val="18"/>
        </w:rPr>
      </w:pPr>
      <w:r>
        <w:rPr>
          <w:sz w:val="18"/>
          <w:szCs w:val="18"/>
        </w:rPr>
        <w:t xml:space="preserve">Bij citeren vermelden: Buurma, H. et al., (2013) </w:t>
      </w:r>
      <w:r w:rsidRPr="00B84B33">
        <w:rPr>
          <w:i/>
          <w:sz w:val="18"/>
          <w:szCs w:val="18"/>
        </w:rPr>
        <w:t>Luchtvaart en klimaat in</w:t>
      </w:r>
      <w:r w:rsidR="00B84B33">
        <w:rPr>
          <w:i/>
          <w:sz w:val="18"/>
          <w:szCs w:val="18"/>
        </w:rPr>
        <w:t xml:space="preserve"> </w:t>
      </w:r>
      <w:r w:rsidRPr="00B84B33">
        <w:rPr>
          <w:i/>
          <w:sz w:val="18"/>
          <w:szCs w:val="18"/>
        </w:rPr>
        <w:t>de EU</w:t>
      </w:r>
      <w:r>
        <w:rPr>
          <w:sz w:val="18"/>
          <w:szCs w:val="18"/>
        </w:rPr>
        <w:t xml:space="preserve">, </w:t>
      </w:r>
      <w:hyperlink r:id="rId11" w:history="1">
        <w:r w:rsidR="00B84B33" w:rsidRPr="00CD684A">
          <w:rPr>
            <w:rStyle w:val="Hyperlink"/>
            <w:sz w:val="18"/>
            <w:szCs w:val="18"/>
          </w:rPr>
          <w:t>www.toekomstluchtvaart.nl</w:t>
        </w:r>
      </w:hyperlink>
    </w:p>
    <w:p w:rsidR="0020656B" w:rsidRDefault="0020656B" w:rsidP="0020656B">
      <w:pPr>
        <w:spacing w:after="0"/>
        <w:jc w:val="left"/>
        <w:rPr>
          <w:sz w:val="18"/>
          <w:szCs w:val="18"/>
        </w:rPr>
      </w:pPr>
    </w:p>
    <w:p w:rsidR="0020656B" w:rsidRPr="00B86849" w:rsidRDefault="00B84B33" w:rsidP="0020656B">
      <w:pPr>
        <w:spacing w:after="0"/>
        <w:jc w:val="left"/>
        <w:rPr>
          <w:sz w:val="18"/>
          <w:szCs w:val="18"/>
        </w:rPr>
      </w:pPr>
      <w:r>
        <w:rPr>
          <w:sz w:val="18"/>
          <w:szCs w:val="18"/>
        </w:rPr>
        <w:t xml:space="preserve">© </w:t>
      </w:r>
      <w:r w:rsidR="008151DB" w:rsidRPr="00B86849">
        <w:rPr>
          <w:sz w:val="18"/>
          <w:szCs w:val="18"/>
        </w:rPr>
        <w:t>Werkgroep Toekomst Luchtvaart</w:t>
      </w:r>
      <w:r w:rsidR="0020656B" w:rsidRPr="00B86849">
        <w:rPr>
          <w:sz w:val="18"/>
          <w:szCs w:val="18"/>
        </w:rPr>
        <w:t xml:space="preserve"> </w:t>
      </w:r>
      <w:r w:rsidR="0020656B" w:rsidRPr="00B86849">
        <w:rPr>
          <w:sz w:val="18"/>
          <w:szCs w:val="18"/>
        </w:rPr>
        <w:tab/>
      </w:r>
      <w:r w:rsidR="0020656B" w:rsidRPr="00B86849">
        <w:rPr>
          <w:sz w:val="18"/>
          <w:szCs w:val="18"/>
        </w:rPr>
        <w:tab/>
      </w:r>
      <w:proofErr w:type="spellStart"/>
      <w:r w:rsidR="0020656B" w:rsidRPr="00B86849">
        <w:rPr>
          <w:sz w:val="18"/>
          <w:szCs w:val="18"/>
        </w:rPr>
        <w:t>Working</w:t>
      </w:r>
      <w:proofErr w:type="spellEnd"/>
      <w:r w:rsidR="0020656B" w:rsidRPr="00B86849">
        <w:rPr>
          <w:sz w:val="18"/>
          <w:szCs w:val="18"/>
        </w:rPr>
        <w:t xml:space="preserve"> Group </w:t>
      </w:r>
      <w:proofErr w:type="spellStart"/>
      <w:r w:rsidR="0020656B" w:rsidRPr="00B86849">
        <w:rPr>
          <w:sz w:val="18"/>
          <w:szCs w:val="18"/>
        </w:rPr>
        <w:t>on</w:t>
      </w:r>
      <w:proofErr w:type="spellEnd"/>
      <w:r w:rsidR="0020656B" w:rsidRPr="00B86849">
        <w:rPr>
          <w:sz w:val="18"/>
          <w:szCs w:val="18"/>
        </w:rPr>
        <w:t xml:space="preserve"> the </w:t>
      </w:r>
      <w:proofErr w:type="spellStart"/>
      <w:r w:rsidR="0020656B" w:rsidRPr="00B86849">
        <w:rPr>
          <w:sz w:val="18"/>
          <w:szCs w:val="18"/>
        </w:rPr>
        <w:t>Future</w:t>
      </w:r>
      <w:proofErr w:type="spellEnd"/>
      <w:r w:rsidR="0020656B" w:rsidRPr="00B86849">
        <w:rPr>
          <w:sz w:val="18"/>
          <w:szCs w:val="18"/>
        </w:rPr>
        <w:t xml:space="preserve"> of </w:t>
      </w:r>
      <w:proofErr w:type="spellStart"/>
      <w:r w:rsidR="0020656B" w:rsidRPr="00B86849">
        <w:rPr>
          <w:sz w:val="18"/>
          <w:szCs w:val="18"/>
        </w:rPr>
        <w:t>Aviation</w:t>
      </w:r>
      <w:proofErr w:type="spellEnd"/>
    </w:p>
    <w:p w:rsidR="0020656B" w:rsidRPr="00B86849" w:rsidRDefault="007453DE" w:rsidP="00B84B33">
      <w:pPr>
        <w:spacing w:after="0"/>
        <w:jc w:val="left"/>
        <w:rPr>
          <w:sz w:val="18"/>
          <w:szCs w:val="18"/>
        </w:rPr>
      </w:pPr>
      <w:hyperlink r:id="rId12" w:history="1">
        <w:r w:rsidR="008151DB" w:rsidRPr="00B86849">
          <w:rPr>
            <w:rStyle w:val="Hyperlink"/>
            <w:sz w:val="18"/>
            <w:szCs w:val="18"/>
          </w:rPr>
          <w:t>www.toekomstluchtvaart.nl</w:t>
        </w:r>
      </w:hyperlink>
      <w:r w:rsidR="0020656B" w:rsidRPr="00B86849">
        <w:tab/>
      </w:r>
      <w:r w:rsidR="0020656B" w:rsidRPr="00B86849">
        <w:tab/>
      </w:r>
      <w:r w:rsidR="0020656B" w:rsidRPr="00B86849">
        <w:tab/>
      </w:r>
      <w:hyperlink r:id="rId13" w:history="1">
        <w:r w:rsidR="0020656B" w:rsidRPr="00B86849">
          <w:rPr>
            <w:rStyle w:val="Hyperlink"/>
            <w:sz w:val="18"/>
            <w:szCs w:val="18"/>
          </w:rPr>
          <w:t>www.aviationandclimate.com</w:t>
        </w:r>
      </w:hyperlink>
    </w:p>
    <w:p w:rsidR="008151DB" w:rsidRPr="00B86849" w:rsidRDefault="007453DE" w:rsidP="008151DB">
      <w:pPr>
        <w:spacing w:after="200"/>
        <w:jc w:val="left"/>
      </w:pPr>
      <w:hyperlink r:id="rId14" w:history="1">
        <w:r w:rsidR="008151DB" w:rsidRPr="00B86849">
          <w:rPr>
            <w:rStyle w:val="Hyperlink"/>
            <w:sz w:val="18"/>
            <w:szCs w:val="18"/>
          </w:rPr>
          <w:t>werkgroep@toekomstluchtvaart.nl</w:t>
        </w:r>
      </w:hyperlink>
      <w:r w:rsidR="0020656B" w:rsidRPr="00B86849">
        <w:tab/>
      </w:r>
      <w:r w:rsidR="0020656B" w:rsidRPr="00B86849">
        <w:tab/>
      </w:r>
      <w:hyperlink r:id="rId15" w:history="1">
        <w:r w:rsidR="0020656B" w:rsidRPr="00B86849">
          <w:rPr>
            <w:rStyle w:val="Hyperlink"/>
            <w:sz w:val="18"/>
            <w:szCs w:val="18"/>
          </w:rPr>
          <w:t>discussion@aviationandclimate.com</w:t>
        </w:r>
      </w:hyperlink>
    </w:p>
    <w:p w:rsidR="0059421B" w:rsidRPr="00B86849" w:rsidRDefault="007453DE">
      <w:pPr>
        <w:spacing w:after="200" w:line="276" w:lineRule="auto"/>
        <w:jc w:val="left"/>
        <w:rPr>
          <w:rFonts w:ascii="Verdana" w:eastAsiaTheme="majorEastAsia" w:hAnsi="Verdana" w:cstheme="majorBidi"/>
          <w:bCs/>
          <w:color w:val="1F497D" w:themeColor="text2"/>
          <w:sz w:val="26"/>
          <w:szCs w:val="26"/>
        </w:rPr>
      </w:pPr>
      <w:r w:rsidRPr="007453DE">
        <w:rPr>
          <w:noProof/>
          <w:lang w:eastAsia="nl-NL"/>
        </w:rPr>
        <w:pict>
          <v:rect id="_x0000_s214429" style="position:absolute;margin-left:184.65pt;margin-top:61.05pt;width:30.75pt;height:26.25pt;z-index:252585984" stroked="f"/>
        </w:pict>
      </w:r>
      <w:r w:rsidR="0059421B" w:rsidRPr="00B86849">
        <w:br w:type="page"/>
      </w:r>
    </w:p>
    <w:p w:rsidR="008151DB" w:rsidRPr="004C35CD" w:rsidRDefault="007453DE" w:rsidP="00B84B33">
      <w:pPr>
        <w:pStyle w:val="Kop2"/>
      </w:pPr>
      <w:r w:rsidRPr="007453DE">
        <w:rPr>
          <w:noProof/>
          <w:sz w:val="18"/>
          <w:szCs w:val="18"/>
          <w:lang w:eastAsia="nl-NL"/>
        </w:rPr>
        <w:lastRenderedPageBreak/>
        <w:pict>
          <v:rect id="_x0000_s214123" style="position:absolute;margin-left:416.25pt;margin-top:23.1pt;width:25.5pt;height:13.5pt;z-index:252515328" fillcolor="white [3212]" stroked="f"/>
        </w:pict>
      </w:r>
      <w:bookmarkStart w:id="2" w:name="_Toc348905261"/>
      <w:bookmarkStart w:id="3" w:name="_Toc349748367"/>
      <w:r w:rsidR="008151DB" w:rsidRPr="004C35CD">
        <w:t xml:space="preserve">Samenvatting  </w:t>
      </w:r>
      <w:r w:rsidR="008151DB" w:rsidRPr="004C35CD">
        <w:rPr>
          <w:color w:val="FFFFFF" w:themeColor="background1"/>
        </w:rPr>
        <w:t>.</w:t>
      </w:r>
      <w:bookmarkEnd w:id="2"/>
      <w:bookmarkEnd w:id="3"/>
    </w:p>
    <w:p w:rsidR="008151DB" w:rsidRPr="0059421B" w:rsidRDefault="008151DB" w:rsidP="008151DB">
      <w:pPr>
        <w:rPr>
          <w:color w:val="7030A0"/>
          <w:sz w:val="24"/>
          <w:szCs w:val="24"/>
        </w:rPr>
      </w:pPr>
      <w:r w:rsidRPr="0059421B">
        <w:rPr>
          <w:color w:val="7030A0"/>
          <w:sz w:val="24"/>
          <w:szCs w:val="24"/>
        </w:rPr>
        <w:t xml:space="preserve">Aanzienlijke toename van </w:t>
      </w:r>
      <w:r w:rsidR="00396735" w:rsidRPr="00396735">
        <w:rPr>
          <w:color w:val="7030A0"/>
          <w:sz w:val="24"/>
          <w:szCs w:val="24"/>
        </w:rPr>
        <w:t>CO</w:t>
      </w:r>
      <w:r w:rsidR="00396735" w:rsidRPr="00396735">
        <w:rPr>
          <w:color w:val="7030A0"/>
          <w:sz w:val="24"/>
          <w:szCs w:val="24"/>
          <w:vertAlign w:val="subscript"/>
        </w:rPr>
        <w:t>2</w:t>
      </w:r>
      <w:r w:rsidRPr="0059421B">
        <w:rPr>
          <w:color w:val="7030A0"/>
          <w:sz w:val="24"/>
          <w:szCs w:val="24"/>
        </w:rPr>
        <w:t>-uitstoot luchtvaart vereist urgente ingreep</w:t>
      </w:r>
    </w:p>
    <w:p w:rsidR="008151DB" w:rsidRPr="002F7716" w:rsidRDefault="008151DB" w:rsidP="008151DB">
      <w:r w:rsidRPr="002F7716">
        <w:t>VN-organisatie ICAO en de luchtvaartindustrie hebben in 2010 maatregelen aangekondigd om de CO</w:t>
      </w:r>
      <w:r w:rsidRPr="002F7716">
        <w:rPr>
          <w:vertAlign w:val="subscript"/>
        </w:rPr>
        <w:t>2</w:t>
      </w:r>
      <w:r w:rsidRPr="002F7716">
        <w:t xml:space="preserve">-uitstoot van een groeiende luchtvaart in 2050 te halveren ten opzichte van 2005. </w:t>
      </w:r>
      <w:r w:rsidR="00780CD0">
        <w:t xml:space="preserve">De </w:t>
      </w:r>
      <w:r w:rsidRPr="002F7716">
        <w:t xml:space="preserve">toetsing </w:t>
      </w:r>
      <w:r w:rsidR="00780CD0">
        <w:t>in dit ra</w:t>
      </w:r>
      <w:r w:rsidR="00780CD0">
        <w:t>p</w:t>
      </w:r>
      <w:r w:rsidR="00780CD0">
        <w:t xml:space="preserve">port </w:t>
      </w:r>
      <w:r w:rsidRPr="002F7716">
        <w:t>wijst echter uit dat dit doel volstrekt onhaalbaar is. De uitstoot van broeikasgassen wordt niet ve</w:t>
      </w:r>
      <w:r w:rsidRPr="002F7716">
        <w:t>r</w:t>
      </w:r>
      <w:r w:rsidRPr="002F7716">
        <w:t xml:space="preserve">minderd, maar zal in 2050 </w:t>
      </w:r>
      <w:r w:rsidRPr="002F7716">
        <w:rPr>
          <w:b/>
        </w:rPr>
        <w:t xml:space="preserve">drie tot vier keer zo </w:t>
      </w:r>
      <w:r w:rsidR="00780CD0">
        <w:rPr>
          <w:b/>
        </w:rPr>
        <w:t>hoog</w:t>
      </w:r>
      <w:r w:rsidRPr="002F7716">
        <w:rPr>
          <w:b/>
        </w:rPr>
        <w:t xml:space="preserve"> worden</w:t>
      </w:r>
      <w:r w:rsidRPr="002F7716">
        <w:t xml:space="preserve"> als in 2005. Zelfs zonder groei na 2020 zullen emissies en opwarmingseffecten in 2050 uiteindelijk vrijwel gelijk zijn aan die in 2005. Deze on</w:t>
      </w:r>
      <w:r w:rsidRPr="002F7716">
        <w:t>t</w:t>
      </w:r>
      <w:r w:rsidRPr="002F7716">
        <w:t>hutsende constatering wordt op grond van wetenschappelijke bronnen onderbouwd. ICAO en de luch</w:t>
      </w:r>
      <w:r w:rsidRPr="002F7716">
        <w:t>t</w:t>
      </w:r>
      <w:r w:rsidRPr="002F7716">
        <w:t xml:space="preserve">vaartindustrie </w:t>
      </w:r>
      <w:r w:rsidR="00780CD0">
        <w:t>overschatten</w:t>
      </w:r>
      <w:r w:rsidRPr="002F7716">
        <w:t xml:space="preserve"> de effecten van biokerosine en toekomstige brandstofbesparingen en ple</w:t>
      </w:r>
      <w:r w:rsidRPr="002F7716">
        <w:t>i</w:t>
      </w:r>
      <w:r w:rsidRPr="002F7716">
        <w:t xml:space="preserve">ten voor een “duurzame groei” van </w:t>
      </w:r>
      <w:r w:rsidR="00396735">
        <w:t>de</w:t>
      </w:r>
      <w:r w:rsidRPr="002F7716">
        <w:t xml:space="preserve"> luchtvaart die juist slecht is voor het klimaat. Terwijl vooraa</w:t>
      </w:r>
      <w:r w:rsidRPr="002F7716">
        <w:t>n</w:t>
      </w:r>
      <w:r w:rsidRPr="002F7716">
        <w:t>staande wetenschappers nu al waarschuwen voor een te hoge opwarming van vier graden, zal de luch</w:t>
      </w:r>
      <w:r w:rsidRPr="002F7716">
        <w:t>t</w:t>
      </w:r>
      <w:r w:rsidRPr="002F7716">
        <w:t>vaart haar aandeel daarin nog aanzienlijk uitbreiden. De bijbehorende aantasting van de mondiale ec</w:t>
      </w:r>
      <w:r w:rsidRPr="002F7716">
        <w:t>o</w:t>
      </w:r>
      <w:r w:rsidRPr="002F7716">
        <w:t>nomie zal in dat geval ook de luchtvaart zelf treffen.</w:t>
      </w:r>
    </w:p>
    <w:p w:rsidR="008151DB" w:rsidRPr="0059421B" w:rsidRDefault="00780CD0" w:rsidP="008151DB">
      <w:pPr>
        <w:rPr>
          <w:color w:val="7030A0"/>
          <w:sz w:val="24"/>
          <w:szCs w:val="24"/>
        </w:rPr>
      </w:pPr>
      <w:r w:rsidRPr="0059421B">
        <w:rPr>
          <w:color w:val="7030A0"/>
          <w:sz w:val="24"/>
          <w:szCs w:val="24"/>
        </w:rPr>
        <w:t>Geen nieuwe startbanen, meer</w:t>
      </w:r>
      <w:r w:rsidR="008151DB" w:rsidRPr="0059421B">
        <w:rPr>
          <w:color w:val="7030A0"/>
          <w:sz w:val="24"/>
          <w:szCs w:val="24"/>
        </w:rPr>
        <w:t xml:space="preserve"> </w:t>
      </w:r>
      <w:r w:rsidRPr="0059421B">
        <w:rPr>
          <w:color w:val="7030A0"/>
          <w:sz w:val="24"/>
          <w:szCs w:val="24"/>
        </w:rPr>
        <w:t>hogesnelheidstreinen en</w:t>
      </w:r>
      <w:r w:rsidR="008151DB" w:rsidRPr="0059421B">
        <w:rPr>
          <w:color w:val="7030A0"/>
          <w:sz w:val="24"/>
          <w:szCs w:val="24"/>
        </w:rPr>
        <w:t xml:space="preserve"> minder vliegen</w:t>
      </w:r>
    </w:p>
    <w:p w:rsidR="008151DB" w:rsidRPr="002F7716" w:rsidRDefault="008151DB" w:rsidP="008151DB">
      <w:r w:rsidRPr="002F7716">
        <w:rPr>
          <w:b/>
        </w:rPr>
        <w:t>Dit rapport beveelt de EU en haar lidstaten aan de Europese luchtvaartemissies te beperken door luchthavens niet meer uit te breiden</w:t>
      </w:r>
      <w:r w:rsidRPr="002F7716">
        <w:t>. Er zijn twee kansen om het economisch en maatschappelijk rel</w:t>
      </w:r>
      <w:r w:rsidRPr="002F7716">
        <w:t>e</w:t>
      </w:r>
      <w:r w:rsidRPr="002F7716">
        <w:t xml:space="preserve">vante vervoer toch te laten doorgroeien zonder dat daarvoor luchtvaartgroei nodig is. </w:t>
      </w:r>
    </w:p>
    <w:p w:rsidR="008151DB" w:rsidRPr="002F7716" w:rsidRDefault="007453DE" w:rsidP="008151DB">
      <w:r w:rsidRPr="007453DE">
        <w:rPr>
          <w:b/>
          <w:noProof/>
          <w:lang w:eastAsia="nl-NL"/>
        </w:rPr>
        <w:pict>
          <v:shape id="_x0000_s214108" type="#_x0000_t202" style="position:absolute;left:0;text-align:left;margin-left:249.6pt;margin-top:10.95pt;width:161.6pt;height:104.55pt;z-index:252471296;mso-width-percent:400;mso-width-percent:400;mso-width-relative:margin;mso-height-relative:margin" fillcolor="#effcff" stroked="f" strokecolor="#0070c0">
            <v:shadow color="#ddd8c2 [2894]" opacity=".5" offset="6pt,6pt"/>
            <v:textbox style="mso-next-textbox:#_x0000_s214108">
              <w:txbxContent>
                <w:p w:rsidR="00396735" w:rsidRPr="00E54D9D" w:rsidRDefault="00396735" w:rsidP="008151DB">
                  <w:pPr>
                    <w:rPr>
                      <w:color w:val="7030A0"/>
                    </w:rPr>
                  </w:pPr>
                  <w:r w:rsidRPr="00E54D9D">
                    <w:rPr>
                      <w:color w:val="7030A0"/>
                    </w:rPr>
                    <w:t>Vliegtuigen veroorzaken per pass</w:t>
                  </w:r>
                  <w:r w:rsidRPr="00E54D9D">
                    <w:rPr>
                      <w:color w:val="7030A0"/>
                    </w:rPr>
                    <w:t>a</w:t>
                  </w:r>
                  <w:r w:rsidRPr="00E54D9D">
                    <w:rPr>
                      <w:color w:val="7030A0"/>
                    </w:rPr>
                    <w:t>gierkilometer 17 keer zoveel opwa</w:t>
                  </w:r>
                  <w:r w:rsidRPr="00E54D9D">
                    <w:rPr>
                      <w:color w:val="7030A0"/>
                    </w:rPr>
                    <w:t>r</w:t>
                  </w:r>
                  <w:r w:rsidRPr="00E54D9D">
                    <w:rPr>
                      <w:color w:val="7030A0"/>
                    </w:rPr>
                    <w:t>ming als hogesnelheidstreinen. Tre</w:t>
                  </w:r>
                  <w:r w:rsidRPr="00E54D9D">
                    <w:rPr>
                      <w:color w:val="7030A0"/>
                    </w:rPr>
                    <w:t>i</w:t>
                  </w:r>
                  <w:r w:rsidRPr="00E54D9D">
                    <w:rPr>
                      <w:color w:val="7030A0"/>
                    </w:rPr>
                    <w:t>nen worden snel klimaatvriendelijker, vliegtuigen nauwelijks. Vliegen bi</w:t>
                  </w:r>
                  <w:r w:rsidRPr="00E54D9D">
                    <w:rPr>
                      <w:color w:val="7030A0"/>
                    </w:rPr>
                    <w:t>n</w:t>
                  </w:r>
                  <w:r w:rsidRPr="00E54D9D">
                    <w:rPr>
                      <w:color w:val="7030A0"/>
                    </w:rPr>
                    <w:t>nen West-Europa moet dringend ter discussie worden gesteld.</w:t>
                  </w:r>
                </w:p>
              </w:txbxContent>
            </v:textbox>
            <w10:wrap type="square"/>
          </v:shape>
        </w:pict>
      </w:r>
      <w:r w:rsidR="008151DB" w:rsidRPr="002F7716">
        <w:rPr>
          <w:b/>
        </w:rPr>
        <w:t>Het internationale vervoer kan aanzienlijk worden uitg</w:t>
      </w:r>
      <w:r w:rsidR="008151DB" w:rsidRPr="002F7716">
        <w:rPr>
          <w:b/>
        </w:rPr>
        <w:t>e</w:t>
      </w:r>
      <w:r w:rsidR="008151DB" w:rsidRPr="002F7716">
        <w:rPr>
          <w:b/>
        </w:rPr>
        <w:t>breid door nu luchtvaart echt te integreren met het zich uitbreidend Europese netwerk van hogesnelheidstreinen</w:t>
      </w:r>
      <w:r w:rsidR="008151DB" w:rsidRPr="002F7716">
        <w:t xml:space="preserve">. Treinen </w:t>
      </w:r>
      <w:r w:rsidR="00153E63">
        <w:t>zull</w:t>
      </w:r>
      <w:r w:rsidR="008151DB" w:rsidRPr="002F7716">
        <w:t xml:space="preserve">en binnen enige </w:t>
      </w:r>
      <w:r w:rsidR="00153E63">
        <w:t>decennia</w:t>
      </w:r>
      <w:r w:rsidR="008151DB" w:rsidRPr="002F7716">
        <w:t xml:space="preserve"> op vrijwel volledig he</w:t>
      </w:r>
      <w:r w:rsidR="008151DB" w:rsidRPr="002F7716">
        <w:t>r</w:t>
      </w:r>
      <w:r w:rsidR="008151DB" w:rsidRPr="002F7716">
        <w:t xml:space="preserve">nieuwbare elektriciteit rijden. </w:t>
      </w:r>
      <w:r w:rsidR="004C35CD">
        <w:t xml:space="preserve">In tegenstelling tot </w:t>
      </w:r>
      <w:r w:rsidR="008151DB" w:rsidRPr="002F7716">
        <w:t xml:space="preserve">vliegtuigen, die </w:t>
      </w:r>
      <w:r w:rsidR="004C35CD">
        <w:t xml:space="preserve">voor en misschien ook na 2050 </w:t>
      </w:r>
      <w:r w:rsidR="008151DB" w:rsidRPr="002F7716">
        <w:rPr>
          <w:i/>
        </w:rPr>
        <w:t>niet klimaatneutraal</w:t>
      </w:r>
      <w:r w:rsidR="008151DB" w:rsidRPr="002F7716">
        <w:rPr>
          <w:i/>
          <w:color w:val="0070C0"/>
        </w:rPr>
        <w:t xml:space="preserve"> </w:t>
      </w:r>
      <w:r w:rsidR="008151DB" w:rsidRPr="002F7716">
        <w:t>ku</w:t>
      </w:r>
      <w:r w:rsidR="008151DB" w:rsidRPr="002F7716">
        <w:t>n</w:t>
      </w:r>
      <w:r w:rsidR="008151DB" w:rsidRPr="002F7716">
        <w:t>nen worden.  Zulke futuristische vliegtuigen bestaan zelfs nog niet op papier. Luchtvaartmaatschappijen kunnen een groot deel van hun Europese passagiers met hogesnelheidstreinen vervoeren</w:t>
      </w:r>
      <w:r w:rsidR="00153E63">
        <w:t xml:space="preserve"> en de</w:t>
      </w:r>
      <w:r w:rsidR="008151DB" w:rsidRPr="002F7716">
        <w:t xml:space="preserve"> vrijkomende luchthavencapaciteit </w:t>
      </w:r>
      <w:r w:rsidR="00153E63">
        <w:t>inzetten</w:t>
      </w:r>
      <w:r w:rsidR="00D96E2F" w:rsidRPr="00D96E2F">
        <w:t xml:space="preserve"> </w:t>
      </w:r>
      <w:r w:rsidR="00396735">
        <w:t xml:space="preserve">voor </w:t>
      </w:r>
      <w:r w:rsidR="00D96E2F" w:rsidRPr="002F7716">
        <w:t>een groe</w:t>
      </w:r>
      <w:r w:rsidR="00D96E2F" w:rsidRPr="002F7716">
        <w:t>i</w:t>
      </w:r>
      <w:r w:rsidR="00D96E2F" w:rsidRPr="002F7716">
        <w:t xml:space="preserve">ende vraag </w:t>
      </w:r>
      <w:r w:rsidR="00D96E2F">
        <w:t xml:space="preserve">naar </w:t>
      </w:r>
      <w:r w:rsidR="00CA0011">
        <w:t>zakelijk en maatschappelijk verkeer op langere afstanden</w:t>
      </w:r>
      <w:r w:rsidR="008151DB" w:rsidRPr="002F7716">
        <w:t xml:space="preserve">. Versnelde inschakeling van hogesnelheidstreinen voor internationaal zakelijk verkeer is pure winst voor zowel de economie als het klimaat. </w:t>
      </w:r>
    </w:p>
    <w:p w:rsidR="008151DB" w:rsidRPr="002F7716" w:rsidRDefault="008151DB" w:rsidP="008151DB">
      <w:r w:rsidRPr="002F7716">
        <w:t xml:space="preserve">Een tweede kans is </w:t>
      </w:r>
      <w:r w:rsidR="00CA0011">
        <w:t xml:space="preserve">een mogelijke </w:t>
      </w:r>
      <w:r w:rsidR="00CA0011" w:rsidRPr="00CA0011">
        <w:rPr>
          <w:b/>
        </w:rPr>
        <w:t>verschuiving van het vrijetijdsverkeer naar</w:t>
      </w:r>
      <w:r w:rsidR="00CA0011">
        <w:t xml:space="preserve"> </w:t>
      </w:r>
      <w:r w:rsidRPr="002F7716">
        <w:t xml:space="preserve"> </w:t>
      </w:r>
      <w:r w:rsidRPr="002F7716">
        <w:rPr>
          <w:b/>
        </w:rPr>
        <w:t>het zakelijk en maa</w:t>
      </w:r>
      <w:r w:rsidRPr="002F7716">
        <w:rPr>
          <w:b/>
        </w:rPr>
        <w:t>t</w:t>
      </w:r>
      <w:r w:rsidRPr="002F7716">
        <w:rPr>
          <w:b/>
        </w:rPr>
        <w:t>schappelijk belangrijke luchtver</w:t>
      </w:r>
      <w:r w:rsidR="00396735">
        <w:rPr>
          <w:b/>
        </w:rPr>
        <w:t>keer</w:t>
      </w:r>
      <w:r w:rsidRPr="002F7716">
        <w:t>. De vrijetijdsmarkt is zeer prijsgevoelig. Als vliegen duurder wordt vanwege de steeds duurdere olie en  CO</w:t>
      </w:r>
      <w:r w:rsidRPr="002F7716">
        <w:rPr>
          <w:vertAlign w:val="subscript"/>
        </w:rPr>
        <w:t>2</w:t>
      </w:r>
      <w:r w:rsidRPr="002F7716">
        <w:t>-emissieheffingen, zal afnemend vrijetijdsverkeer ruimte m</w:t>
      </w:r>
      <w:r w:rsidRPr="002F7716">
        <w:t>a</w:t>
      </w:r>
      <w:r w:rsidRPr="002F7716">
        <w:t xml:space="preserve">ken voor nog verdere groei van het zakelijk verkeer, zonder toename van luchtverkeer. </w:t>
      </w:r>
      <w:r>
        <w:t xml:space="preserve">Ook kunnen zakelijke en vrijetijdspassagiers worden gestimuleerd om </w:t>
      </w:r>
      <w:r w:rsidR="009851C9">
        <w:t xml:space="preserve">meer </w:t>
      </w:r>
      <w:r>
        <w:t>gebruik te maken van vide</w:t>
      </w:r>
      <w:r w:rsidR="009851C9">
        <w:t>o</w:t>
      </w:r>
      <w:r>
        <w:t xml:space="preserve"> </w:t>
      </w:r>
      <w:proofErr w:type="spellStart"/>
      <w:r>
        <w:t>conferencing</w:t>
      </w:r>
      <w:proofErr w:type="spellEnd"/>
      <w:r>
        <w:t xml:space="preserve"> en af te zien van vluchten die nauwelijks aan de economie en samenleving bijdragen.</w:t>
      </w:r>
    </w:p>
    <w:p w:rsidR="008151DB" w:rsidRPr="00665A0B" w:rsidRDefault="008151DB" w:rsidP="00F3123D">
      <w:pPr>
        <w:spacing w:after="0" w:line="240" w:lineRule="auto"/>
        <w:rPr>
          <w:sz w:val="24"/>
          <w:szCs w:val="24"/>
        </w:rPr>
      </w:pPr>
      <w:r w:rsidRPr="00665A0B">
        <w:rPr>
          <w:color w:val="7030A0"/>
          <w:sz w:val="24"/>
          <w:szCs w:val="24"/>
        </w:rPr>
        <w:t>Conclusie: Europese regeringen moeten de uitbreiding van startbanen stoppen</w:t>
      </w:r>
      <w:r w:rsidR="00E54D9D">
        <w:rPr>
          <w:color w:val="7030A0"/>
          <w:sz w:val="24"/>
          <w:szCs w:val="24"/>
        </w:rPr>
        <w:t>. Desondanks kan</w:t>
      </w:r>
      <w:r w:rsidRPr="00665A0B">
        <w:rPr>
          <w:color w:val="7030A0"/>
          <w:sz w:val="24"/>
          <w:szCs w:val="24"/>
        </w:rPr>
        <w:t xml:space="preserve"> </w:t>
      </w:r>
      <w:r w:rsidR="00E54D9D">
        <w:rPr>
          <w:color w:val="7030A0"/>
          <w:sz w:val="24"/>
          <w:szCs w:val="24"/>
        </w:rPr>
        <w:t xml:space="preserve">het </w:t>
      </w:r>
      <w:r w:rsidR="00E54D9D" w:rsidRPr="00665A0B">
        <w:rPr>
          <w:color w:val="7030A0"/>
          <w:sz w:val="24"/>
          <w:szCs w:val="24"/>
        </w:rPr>
        <w:t xml:space="preserve">vervoer ten behoeve van de economie </w:t>
      </w:r>
      <w:r w:rsidR="00E54D9D">
        <w:rPr>
          <w:color w:val="7030A0"/>
          <w:sz w:val="24"/>
          <w:szCs w:val="24"/>
        </w:rPr>
        <w:t>en</w:t>
      </w:r>
      <w:r w:rsidR="00E54D9D" w:rsidRPr="00665A0B">
        <w:rPr>
          <w:color w:val="7030A0"/>
          <w:sz w:val="24"/>
          <w:szCs w:val="24"/>
        </w:rPr>
        <w:t xml:space="preserve"> de samenleving </w:t>
      </w:r>
      <w:r w:rsidRPr="00665A0B">
        <w:rPr>
          <w:color w:val="7030A0"/>
          <w:sz w:val="24"/>
          <w:szCs w:val="24"/>
        </w:rPr>
        <w:t xml:space="preserve">een aanzienlijk groeipotentieel </w:t>
      </w:r>
      <w:r w:rsidR="00E54D9D">
        <w:rPr>
          <w:color w:val="7030A0"/>
          <w:sz w:val="24"/>
          <w:szCs w:val="24"/>
        </w:rPr>
        <w:t>worden geboden</w:t>
      </w:r>
      <w:r w:rsidRPr="00665A0B">
        <w:rPr>
          <w:sz w:val="24"/>
          <w:szCs w:val="24"/>
        </w:rPr>
        <w:t xml:space="preserve">. </w:t>
      </w:r>
    </w:p>
    <w:p w:rsidR="00BA4AA8" w:rsidRDefault="00BA4AA8" w:rsidP="00F3123D">
      <w:pPr>
        <w:spacing w:after="0"/>
        <w:jc w:val="left"/>
        <w:rPr>
          <w:rFonts w:asciiTheme="majorHAnsi" w:eastAsiaTheme="majorEastAsia" w:hAnsiTheme="majorHAnsi" w:cstheme="majorBidi"/>
          <w:bCs/>
          <w:color w:val="1F497D" w:themeColor="text2"/>
          <w:sz w:val="32"/>
          <w:szCs w:val="26"/>
        </w:rPr>
      </w:pPr>
      <w:bookmarkStart w:id="4" w:name="_Toc348854968"/>
      <w:bookmarkEnd w:id="1"/>
      <w:r>
        <w:br w:type="page"/>
      </w:r>
    </w:p>
    <w:p w:rsidR="00312E58" w:rsidRPr="00AA453E" w:rsidRDefault="008C7C8E" w:rsidP="00FB51E5">
      <w:pPr>
        <w:pStyle w:val="Kop2"/>
      </w:pPr>
      <w:bookmarkStart w:id="5" w:name="_Toc349748368"/>
      <w:r w:rsidRPr="00AA453E">
        <w:lastRenderedPageBreak/>
        <w:t xml:space="preserve">1. </w:t>
      </w:r>
      <w:r w:rsidR="00AA453E" w:rsidRPr="00AA453E">
        <w:t>Luchtvaart in een opwarmend klimaat</w:t>
      </w:r>
      <w:r w:rsidR="004524CE" w:rsidRPr="00AA453E">
        <w:t xml:space="preserve">   </w:t>
      </w:r>
      <w:r w:rsidR="004524CE" w:rsidRPr="00AA453E">
        <w:rPr>
          <w:color w:val="FFFFFF" w:themeColor="background1"/>
        </w:rPr>
        <w:t>.</w:t>
      </w:r>
      <w:bookmarkEnd w:id="4"/>
      <w:bookmarkEnd w:id="5"/>
    </w:p>
    <w:p w:rsidR="00BA4AA8" w:rsidRDefault="00BA4AA8" w:rsidP="00EB2A09">
      <w:pPr>
        <w:spacing w:after="200"/>
      </w:pPr>
      <w:r w:rsidRPr="008F11CF">
        <w:rPr>
          <w:b/>
          <w:color w:val="7030A0"/>
        </w:rPr>
        <w:t>Opwarming.</w:t>
      </w:r>
      <w:r>
        <w:t xml:space="preserve"> Het klimaat wordt wa</w:t>
      </w:r>
      <w:r w:rsidR="005F31C7">
        <w:t>r</w:t>
      </w:r>
      <w:r>
        <w:t xml:space="preserve">mer </w:t>
      </w:r>
      <w:r w:rsidR="009851C9">
        <w:t>door</w:t>
      </w:r>
      <w:r>
        <w:t xml:space="preserve"> uitstoot van broeikasgassen</w:t>
      </w:r>
      <w:r w:rsidR="00D06512">
        <w:t xml:space="preserve"> (</w:t>
      </w:r>
      <w:r>
        <w:t xml:space="preserve"> vooral </w:t>
      </w:r>
      <w:r w:rsidRPr="00BA4AA8">
        <w:t>CO</w:t>
      </w:r>
      <w:r w:rsidRPr="00BA4AA8">
        <w:rPr>
          <w:vertAlign w:val="subscript"/>
        </w:rPr>
        <w:t>2</w:t>
      </w:r>
      <w:r w:rsidR="00D06512">
        <w:t xml:space="preserve">) </w:t>
      </w:r>
      <w:r w:rsidR="009851C9">
        <w:t>uit</w:t>
      </w:r>
      <w:r w:rsidR="00D06512">
        <w:t xml:space="preserve"> menselijke activiteiten. De Wereldbank (World Bank 2012) </w:t>
      </w:r>
      <w:r w:rsidR="009851C9">
        <w:t xml:space="preserve">en Stern (2013) </w:t>
      </w:r>
      <w:r w:rsidR="00D06512">
        <w:t>waarschuw</w:t>
      </w:r>
      <w:r w:rsidR="009851C9">
        <w:t>en</w:t>
      </w:r>
      <w:r w:rsidR="00D06512">
        <w:t xml:space="preserve"> dat de wereld op weg is naar een opwarming van vier graden. </w:t>
      </w:r>
      <w:r w:rsidR="009851C9">
        <w:t>Stern</w:t>
      </w:r>
      <w:r w:rsidR="00D06512">
        <w:t xml:space="preserve"> ze</w:t>
      </w:r>
      <w:r w:rsidR="00171955">
        <w:t>gt</w:t>
      </w:r>
      <w:r w:rsidR="00D06512">
        <w:t xml:space="preserve"> dat sommige landen, zoals China, de ernst van de ris</w:t>
      </w:r>
      <w:r w:rsidR="00D06512">
        <w:t>i</w:t>
      </w:r>
      <w:r w:rsidR="00D06512">
        <w:t>co’s beginnen te onderkennen, maar</w:t>
      </w:r>
      <w:r w:rsidR="00171955">
        <w:t xml:space="preserve"> dat </w:t>
      </w:r>
      <w:r w:rsidR="00D06512">
        <w:t xml:space="preserve"> rege</w:t>
      </w:r>
      <w:r w:rsidR="003F2688">
        <w:t>r</w:t>
      </w:r>
      <w:r w:rsidR="00D06512">
        <w:t xml:space="preserve">ingen nu krachtig </w:t>
      </w:r>
      <w:r w:rsidR="00171955">
        <w:t xml:space="preserve">moeten </w:t>
      </w:r>
      <w:r w:rsidR="00D06512">
        <w:t xml:space="preserve">optreden om hun economie </w:t>
      </w:r>
      <w:r w:rsidR="003F2688">
        <w:t xml:space="preserve">te verleggen naar een technologie die </w:t>
      </w:r>
      <w:r w:rsidR="00D06512">
        <w:t>minder energie</w:t>
      </w:r>
      <w:r w:rsidR="003F2688">
        <w:t>-</w:t>
      </w:r>
      <w:r w:rsidR="00D06512">
        <w:t>intensie</w:t>
      </w:r>
      <w:r w:rsidR="003F2688">
        <w:t>f is en duurza</w:t>
      </w:r>
      <w:r w:rsidR="00171955">
        <w:t>mer</w:t>
      </w:r>
      <w:r w:rsidR="003F2688">
        <w:t xml:space="preserve"> voor het milieu. </w:t>
      </w:r>
      <w:r w:rsidR="009851C9">
        <w:t xml:space="preserve">Om </w:t>
      </w:r>
      <w:r w:rsidR="003F2688">
        <w:t xml:space="preserve">de opwarming tot twee graden </w:t>
      </w:r>
      <w:r w:rsidR="009851C9">
        <w:t xml:space="preserve">te beperken moet </w:t>
      </w:r>
      <w:r w:rsidR="003F2688">
        <w:t xml:space="preserve">elk land, </w:t>
      </w:r>
      <w:r w:rsidR="009851C9">
        <w:t xml:space="preserve">elke </w:t>
      </w:r>
      <w:r w:rsidR="003F2688">
        <w:t>industrie en</w:t>
      </w:r>
      <w:r w:rsidR="009851C9">
        <w:t xml:space="preserve"> elk</w:t>
      </w:r>
      <w:r w:rsidR="003F2688">
        <w:t xml:space="preserve"> individu</w:t>
      </w:r>
      <w:r w:rsidR="0004400F">
        <w:t xml:space="preserve"> offers brengen, o</w:t>
      </w:r>
      <w:r w:rsidR="003F2688">
        <w:t>ok de luchtvaartindustrie</w:t>
      </w:r>
      <w:r w:rsidR="0004400F">
        <w:t>.</w:t>
      </w:r>
    </w:p>
    <w:p w:rsidR="00153E63" w:rsidRDefault="0004400F" w:rsidP="00031A3C">
      <w:pPr>
        <w:spacing w:after="200"/>
        <w:jc w:val="left"/>
      </w:pPr>
      <w:r w:rsidRPr="008F11CF">
        <w:rPr>
          <w:b/>
          <w:color w:val="7030A0"/>
        </w:rPr>
        <w:t xml:space="preserve">Bijdrage van de </w:t>
      </w:r>
      <w:r w:rsidR="00CF67BD" w:rsidRPr="008F11CF">
        <w:rPr>
          <w:b/>
          <w:color w:val="7030A0"/>
        </w:rPr>
        <w:t>luchtvaart.</w:t>
      </w:r>
      <w:r w:rsidR="00CF67BD" w:rsidRPr="00CF67BD">
        <w:rPr>
          <w:b/>
        </w:rPr>
        <w:t xml:space="preserve"> </w:t>
      </w:r>
      <w:r w:rsidR="00CF67BD" w:rsidRPr="00CF67BD">
        <w:t xml:space="preserve">De International </w:t>
      </w:r>
      <w:proofErr w:type="spellStart"/>
      <w:r w:rsidR="00CF67BD" w:rsidRPr="00CF67BD">
        <w:t>Civil</w:t>
      </w:r>
      <w:proofErr w:type="spellEnd"/>
      <w:r w:rsidR="00CF67BD" w:rsidRPr="00CF67BD">
        <w:t xml:space="preserve"> </w:t>
      </w:r>
      <w:proofErr w:type="spellStart"/>
      <w:r w:rsidR="00CF67BD" w:rsidRPr="00CF67BD">
        <w:t>Aviation</w:t>
      </w:r>
      <w:proofErr w:type="spellEnd"/>
      <w:r w:rsidR="00CF67BD" w:rsidRPr="00CF67BD">
        <w:t xml:space="preserve"> </w:t>
      </w:r>
      <w:proofErr w:type="spellStart"/>
      <w:r w:rsidR="00CF67BD" w:rsidRPr="00CF67BD">
        <w:t>Organization</w:t>
      </w:r>
      <w:proofErr w:type="spellEnd"/>
      <w:r w:rsidR="00CF67BD" w:rsidRPr="00CF67BD">
        <w:t xml:space="preserve"> (ICAO) he</w:t>
      </w:r>
      <w:r w:rsidR="00171955">
        <w:t>e</w:t>
      </w:r>
      <w:r w:rsidR="00CF67BD" w:rsidRPr="00CF67BD">
        <w:t xml:space="preserve">ft </w:t>
      </w:r>
      <w:proofErr w:type="spellStart"/>
      <w:r w:rsidR="00CF67BD" w:rsidRPr="00CF67BD">
        <w:t>Resolution</w:t>
      </w:r>
      <w:proofErr w:type="spellEnd"/>
      <w:r w:rsidR="00CF67BD" w:rsidRPr="00CF67BD">
        <w:t xml:space="preserve"> A37-19 (ICAO 2010b) </w:t>
      </w:r>
      <w:r w:rsidR="00171955" w:rsidRPr="00CF67BD">
        <w:t>over de duurza</w:t>
      </w:r>
      <w:r w:rsidR="00171955">
        <w:t>a</w:t>
      </w:r>
      <w:r w:rsidR="00171955" w:rsidRPr="00CF67BD">
        <w:t>mheid van</w:t>
      </w:r>
      <w:r w:rsidR="00171955">
        <w:t xml:space="preserve"> luchtvaart </w:t>
      </w:r>
      <w:r>
        <w:t>uitgebracht</w:t>
      </w:r>
      <w:r w:rsidR="00CF67BD" w:rsidRPr="00CF67BD">
        <w:t>. Z</w:t>
      </w:r>
      <w:r w:rsidR="00CF67BD">
        <w:t xml:space="preserve">ij merkt op dat de luchtvaartindustrie de collectieve verplichting op zich heeft genomen om de uitstoot van </w:t>
      </w:r>
      <w:r w:rsidR="00CF67BD" w:rsidRPr="00CF67BD">
        <w:t>CO</w:t>
      </w:r>
      <w:r w:rsidR="00CF67BD" w:rsidRPr="00CF67BD">
        <w:rPr>
          <w:vertAlign w:val="subscript"/>
        </w:rPr>
        <w:t>2</w:t>
      </w:r>
      <w:r w:rsidR="00CF67BD">
        <w:t xml:space="preserve"> </w:t>
      </w:r>
      <w:r w:rsidR="00171955">
        <w:t xml:space="preserve">te verminderen tot </w:t>
      </w:r>
      <w:r w:rsidR="00CF67BD">
        <w:t xml:space="preserve">50% </w:t>
      </w:r>
      <w:r w:rsidR="00171955">
        <w:t xml:space="preserve">in 2050 </w:t>
      </w:r>
      <w:r w:rsidR="00CF67BD">
        <w:t xml:space="preserve">ten opzichte van 2005. </w:t>
      </w:r>
      <w:r w:rsidR="00E22CA7">
        <w:t xml:space="preserve">ICAO geeft </w:t>
      </w:r>
      <w:r w:rsidR="00171955">
        <w:t xml:space="preserve">daarvoor </w:t>
      </w:r>
      <w:r>
        <w:t xml:space="preserve">de volgende </w:t>
      </w:r>
      <w:r w:rsidR="00E22CA7">
        <w:t>maatregelen aan:</w:t>
      </w:r>
      <w:r w:rsidR="00171955">
        <w:t xml:space="preserve"> </w:t>
      </w:r>
    </w:p>
    <w:p w:rsidR="00E22CA7" w:rsidRPr="004669E4" w:rsidRDefault="0004400F" w:rsidP="00E22CA7">
      <w:pPr>
        <w:pStyle w:val="Lijstalinea"/>
        <w:numPr>
          <w:ilvl w:val="0"/>
          <w:numId w:val="11"/>
        </w:numPr>
        <w:spacing w:after="200"/>
        <w:jc w:val="left"/>
      </w:pPr>
      <w:r>
        <w:t>Jaarlijkse</w:t>
      </w:r>
      <w:r w:rsidR="00E22CA7" w:rsidRPr="004669E4">
        <w:t xml:space="preserve"> brandstofbesparing van 2% van 2010 tot 2050</w:t>
      </w:r>
    </w:p>
    <w:p w:rsidR="00E22CA7" w:rsidRDefault="0004400F" w:rsidP="00E22CA7">
      <w:pPr>
        <w:pStyle w:val="Lijstalinea"/>
        <w:numPr>
          <w:ilvl w:val="0"/>
          <w:numId w:val="11"/>
        </w:numPr>
        <w:spacing w:after="200"/>
        <w:jc w:val="left"/>
      </w:pPr>
      <w:r>
        <w:t>I</w:t>
      </w:r>
      <w:r w:rsidR="00E22CA7" w:rsidRPr="004669E4">
        <w:t xml:space="preserve">nvoering van duurzame alternatieve brandstoffen </w:t>
      </w:r>
      <w:r w:rsidR="00171955" w:rsidRPr="004669E4">
        <w:t>(bio</w:t>
      </w:r>
      <w:r>
        <w:t>kerosine</w:t>
      </w:r>
      <w:r w:rsidR="00171955">
        <w:t xml:space="preserve">) </w:t>
      </w:r>
      <w:r w:rsidR="00E22CA7" w:rsidRPr="004669E4">
        <w:t xml:space="preserve">voor de </w:t>
      </w:r>
      <w:r w:rsidR="00171955" w:rsidRPr="004669E4">
        <w:t>luchtvaart</w:t>
      </w:r>
      <w:r w:rsidR="00E22CA7" w:rsidRPr="004669E4">
        <w:t xml:space="preserve"> </w:t>
      </w:r>
    </w:p>
    <w:p w:rsidR="00E22CA7" w:rsidRPr="00E22CA7" w:rsidRDefault="00E22CA7" w:rsidP="00031A3C">
      <w:pPr>
        <w:spacing w:after="200"/>
        <w:jc w:val="left"/>
      </w:pPr>
      <w:r w:rsidRPr="00E22CA7">
        <w:t xml:space="preserve">ICAO </w:t>
      </w:r>
      <w:r>
        <w:t xml:space="preserve">gaat uit van een </w:t>
      </w:r>
      <w:r w:rsidR="00171955">
        <w:t>“</w:t>
      </w:r>
      <w:r>
        <w:t>duurzame groei van de internationale luchtvaartindustrie</w:t>
      </w:r>
      <w:r w:rsidR="00171955">
        <w:t>”</w:t>
      </w:r>
      <w:r w:rsidR="0028271B">
        <w:t xml:space="preserve"> en </w:t>
      </w:r>
      <w:r w:rsidR="00171955">
        <w:t xml:space="preserve">stelt </w:t>
      </w:r>
      <w:r w:rsidR="0028271B">
        <w:t>dat reducti</w:t>
      </w:r>
      <w:r w:rsidR="0028271B">
        <w:t>e</w:t>
      </w:r>
      <w:r w:rsidR="0028271B">
        <w:t>maatregelen de groei van het vervoer in ontwikkelende economieën niet negatief m</w:t>
      </w:r>
      <w:r w:rsidR="00250A1A">
        <w:t>ogen</w:t>
      </w:r>
      <w:r w:rsidR="0028271B">
        <w:t xml:space="preserve"> beïnvloeden.</w:t>
      </w:r>
    </w:p>
    <w:p w:rsidR="0028271B" w:rsidRPr="0028271B" w:rsidRDefault="0028271B" w:rsidP="00031A3C">
      <w:pPr>
        <w:spacing w:after="200"/>
        <w:jc w:val="left"/>
      </w:pPr>
      <w:r w:rsidRPr="008F11CF">
        <w:rPr>
          <w:b/>
          <w:color w:val="7030A0"/>
        </w:rPr>
        <w:t>Kritische toetsing.</w:t>
      </w:r>
      <w:r w:rsidRPr="0028271B">
        <w:rPr>
          <w:b/>
        </w:rPr>
        <w:t xml:space="preserve"> </w:t>
      </w:r>
      <w:r w:rsidRPr="0028271B">
        <w:t>In d</w:t>
      </w:r>
      <w:r>
        <w:t xml:space="preserve">e Appendix van het Engelstalige rapport </w:t>
      </w:r>
      <w:r w:rsidR="00707CA8">
        <w:t>(</w:t>
      </w:r>
      <w:r w:rsidR="00C31850">
        <w:t>te downloaden op</w:t>
      </w:r>
      <w:r w:rsidR="00707CA8">
        <w:t xml:space="preserve"> </w:t>
      </w:r>
      <w:hyperlink r:id="rId16" w:history="1">
        <w:r w:rsidR="00707CA8" w:rsidRPr="0021457F">
          <w:rPr>
            <w:rStyle w:val="Hyperlink"/>
          </w:rPr>
          <w:t>www.toekomstluchtvaart.nl</w:t>
        </w:r>
      </w:hyperlink>
      <w:r w:rsidR="00707CA8">
        <w:t xml:space="preserve">) </w:t>
      </w:r>
      <w:r>
        <w:t xml:space="preserve">worden deze doelen kritisch </w:t>
      </w:r>
      <w:r w:rsidR="0004400F">
        <w:t xml:space="preserve">tegen het licht </w:t>
      </w:r>
      <w:proofErr w:type="spellStart"/>
      <w:r w:rsidR="0004400F">
        <w:t>gehouden</w:t>
      </w:r>
      <w:r>
        <w:t>t</w:t>
      </w:r>
      <w:proofErr w:type="spellEnd"/>
      <w:r>
        <w:t xml:space="preserve">, uitgaande van de volgende vragen:  </w:t>
      </w:r>
    </w:p>
    <w:p w:rsidR="0004400F" w:rsidRPr="00B86849" w:rsidRDefault="0028271B" w:rsidP="0078353C">
      <w:pPr>
        <w:pStyle w:val="Lijstalinea"/>
        <w:numPr>
          <w:ilvl w:val="0"/>
          <w:numId w:val="7"/>
        </w:numPr>
        <w:pBdr>
          <w:top w:val="single" w:sz="4" w:space="1" w:color="auto"/>
          <w:left w:val="single" w:sz="4" w:space="4" w:color="auto"/>
          <w:bottom w:val="single" w:sz="4" w:space="1" w:color="auto"/>
          <w:right w:val="single" w:sz="4" w:space="4" w:color="auto"/>
        </w:pBdr>
        <w:spacing w:after="200"/>
        <w:jc w:val="left"/>
      </w:pPr>
      <w:r w:rsidRPr="0028271B">
        <w:t>Hoe effectief kunnen biobrandstoffen de CO</w:t>
      </w:r>
      <w:r w:rsidRPr="0004400F">
        <w:rPr>
          <w:vertAlign w:val="subscript"/>
        </w:rPr>
        <w:t>2</w:t>
      </w:r>
      <w:r w:rsidRPr="0028271B">
        <w:t>-uitstoot van de l</w:t>
      </w:r>
      <w:r>
        <w:t xml:space="preserve">uchtvaart verminderen? </w:t>
      </w:r>
      <w:r w:rsidR="00D83A36">
        <w:t xml:space="preserve"> </w:t>
      </w:r>
    </w:p>
    <w:p w:rsidR="00B54D0A" w:rsidRPr="0004400F" w:rsidRDefault="0028271B" w:rsidP="0078353C">
      <w:pPr>
        <w:pStyle w:val="Lijstalinea"/>
        <w:numPr>
          <w:ilvl w:val="0"/>
          <w:numId w:val="7"/>
        </w:numPr>
        <w:pBdr>
          <w:top w:val="single" w:sz="4" w:space="1" w:color="auto"/>
          <w:left w:val="single" w:sz="4" w:space="4" w:color="auto"/>
          <w:bottom w:val="single" w:sz="4" w:space="1" w:color="auto"/>
          <w:right w:val="single" w:sz="4" w:space="4" w:color="auto"/>
        </w:pBdr>
        <w:spacing w:after="200"/>
        <w:jc w:val="left"/>
      </w:pPr>
      <w:r w:rsidRPr="00707CA8">
        <w:t xml:space="preserve">Hoe realistisch is de verwachting van een voortdurende brandstofbesparing </w:t>
      </w:r>
      <w:r w:rsidR="00707CA8" w:rsidRPr="00707CA8">
        <w:t xml:space="preserve">van 2% </w:t>
      </w:r>
      <w:r w:rsidR="00396735">
        <w:t xml:space="preserve">per jaar </w:t>
      </w:r>
      <w:r w:rsidR="00707CA8" w:rsidRPr="00707CA8">
        <w:t xml:space="preserve">tussen 2010 en 2050? </w:t>
      </w:r>
      <w:r w:rsidR="00707CA8" w:rsidRPr="0004400F">
        <w:t xml:space="preserve"> </w:t>
      </w:r>
    </w:p>
    <w:p w:rsidR="00B54D0A" w:rsidRPr="008F4D8A" w:rsidRDefault="00707CA8" w:rsidP="0078353C">
      <w:pPr>
        <w:pStyle w:val="Lijstalinea"/>
        <w:numPr>
          <w:ilvl w:val="0"/>
          <w:numId w:val="7"/>
        </w:numPr>
        <w:pBdr>
          <w:top w:val="single" w:sz="4" w:space="1" w:color="auto"/>
          <w:left w:val="single" w:sz="4" w:space="4" w:color="auto"/>
          <w:bottom w:val="single" w:sz="4" w:space="1" w:color="auto"/>
          <w:right w:val="single" w:sz="4" w:space="4" w:color="auto"/>
        </w:pBdr>
        <w:spacing w:after="200"/>
        <w:jc w:val="left"/>
      </w:pPr>
      <w:r w:rsidRPr="00707CA8">
        <w:t xml:space="preserve">Zullen biobrandstof en brandstofbesparingen de luchtvaartindustrie in staat stellen </w:t>
      </w:r>
      <w:r w:rsidR="0004400F">
        <w:t xml:space="preserve">om de uitstoot van </w:t>
      </w:r>
      <w:r w:rsidR="0004400F" w:rsidRPr="00CF67BD">
        <w:t>CO</w:t>
      </w:r>
      <w:r w:rsidR="0004400F" w:rsidRPr="00CF67BD">
        <w:rPr>
          <w:vertAlign w:val="subscript"/>
        </w:rPr>
        <w:t>2</w:t>
      </w:r>
      <w:r w:rsidR="0004400F">
        <w:t xml:space="preserve"> te verminderen tot 50% in 2050 ten opzichte van 2005</w:t>
      </w:r>
      <w:r w:rsidR="00250A1A">
        <w:t>,</w:t>
      </w:r>
      <w:r w:rsidRPr="00707CA8">
        <w:t xml:space="preserve"> indien de luchtvaart zou doorgaan met groeien? </w:t>
      </w:r>
      <w:r w:rsidR="008F4D8A">
        <w:t>W</w:t>
      </w:r>
      <w:r w:rsidRPr="00707CA8">
        <w:t xml:space="preserve">at te zeggen van de </w:t>
      </w:r>
      <w:r w:rsidR="008F4D8A">
        <w:t xml:space="preserve">opwarming door </w:t>
      </w:r>
      <w:r w:rsidR="008F4D8A" w:rsidRPr="008F4D8A">
        <w:t>CO</w:t>
      </w:r>
      <w:r w:rsidR="008F4D8A" w:rsidRPr="008F4D8A">
        <w:rPr>
          <w:vertAlign w:val="subscript"/>
        </w:rPr>
        <w:t>2</w:t>
      </w:r>
      <w:r w:rsidR="008F4D8A">
        <w:t xml:space="preserve"> en </w:t>
      </w:r>
      <w:r w:rsidRPr="00707CA8">
        <w:t>niet koolstofgeb</w:t>
      </w:r>
      <w:r>
        <w:t>on</w:t>
      </w:r>
      <w:r w:rsidRPr="00707CA8">
        <w:t xml:space="preserve">den </w:t>
      </w:r>
      <w:r>
        <w:t xml:space="preserve">broeikasgassen </w:t>
      </w:r>
      <w:r w:rsidRPr="00707CA8">
        <w:t xml:space="preserve"> van luchtvaart?</w:t>
      </w:r>
      <w:r>
        <w:t xml:space="preserve"> </w:t>
      </w:r>
      <w:r w:rsidRPr="00707CA8">
        <w:t xml:space="preserve"> </w:t>
      </w:r>
    </w:p>
    <w:p w:rsidR="0091100C" w:rsidRDefault="00517FB3" w:rsidP="00031A3C">
      <w:pPr>
        <w:spacing w:after="200"/>
      </w:pPr>
      <w:r w:rsidRPr="00517FB3">
        <w:t>Volgens een uitvoerig onderzoek v</w:t>
      </w:r>
      <w:r>
        <w:t xml:space="preserve">an </w:t>
      </w:r>
      <w:r w:rsidRPr="00517FB3">
        <w:t>OECD</w:t>
      </w:r>
      <w:r>
        <w:t xml:space="preserve"> (</w:t>
      </w:r>
      <w:r w:rsidRPr="00517FB3">
        <w:t>IEA 201</w:t>
      </w:r>
      <w:r>
        <w:t>1</w:t>
      </w:r>
      <w:r w:rsidRPr="00517FB3">
        <w:t>)</w:t>
      </w:r>
      <w:r w:rsidR="00396735">
        <w:t xml:space="preserve"> </w:t>
      </w:r>
      <w:r>
        <w:t xml:space="preserve">zal </w:t>
      </w:r>
      <w:r w:rsidR="008F4D8A">
        <w:t xml:space="preserve">de voor </w:t>
      </w:r>
      <w:r>
        <w:t xml:space="preserve">de mondiale luchtvaart </w:t>
      </w:r>
      <w:r w:rsidR="008F4D8A">
        <w:t xml:space="preserve">beschikbare biobrandstof minder dan </w:t>
      </w:r>
      <w:r>
        <w:t xml:space="preserve">een derde </w:t>
      </w:r>
      <w:r w:rsidR="008F4D8A">
        <w:t xml:space="preserve">bedragen </w:t>
      </w:r>
      <w:r>
        <w:t>van de totale hoeveelheid brandstof</w:t>
      </w:r>
      <w:r w:rsidR="008F4D8A">
        <w:t xml:space="preserve"> die zij </w:t>
      </w:r>
      <w:r>
        <w:t xml:space="preserve">in 2050 nodig </w:t>
      </w:r>
      <w:r w:rsidR="008F4D8A">
        <w:t>heeft</w:t>
      </w:r>
      <w:r>
        <w:t xml:space="preserve">. De efficiency </w:t>
      </w:r>
      <w:r w:rsidR="008200EB">
        <w:t>van</w:t>
      </w:r>
      <w:r w:rsidR="00743BA8">
        <w:t xml:space="preserve"> fossiele </w:t>
      </w:r>
      <w:r w:rsidR="00743BA8" w:rsidRPr="00743BA8">
        <w:t>CO</w:t>
      </w:r>
      <w:r w:rsidR="00743BA8" w:rsidRPr="00743BA8">
        <w:rPr>
          <w:vertAlign w:val="subscript"/>
        </w:rPr>
        <w:t>2</w:t>
      </w:r>
      <w:r w:rsidR="008200EB">
        <w:t>-reductie door</w:t>
      </w:r>
      <w:r w:rsidR="00743BA8">
        <w:t xml:space="preserve"> dergelijke biobrandstoffen </w:t>
      </w:r>
      <w:r w:rsidR="003D3838">
        <w:t xml:space="preserve">wordt geschat op </w:t>
      </w:r>
      <w:r w:rsidR="00743BA8">
        <w:t xml:space="preserve"> 50%. </w:t>
      </w:r>
      <w:r w:rsidR="00743BA8" w:rsidRPr="00743BA8">
        <w:t xml:space="preserve">Het reductie-effect zal </w:t>
      </w:r>
      <w:r w:rsidR="003D3838">
        <w:t xml:space="preserve">dan </w:t>
      </w:r>
      <w:r w:rsidR="00743BA8" w:rsidRPr="00743BA8">
        <w:t xml:space="preserve">minder dan </w:t>
      </w:r>
      <w:r w:rsidR="008200EB">
        <w:t>een zesde</w:t>
      </w:r>
      <w:r w:rsidR="00743BA8" w:rsidRPr="00743BA8">
        <w:t xml:space="preserve"> </w:t>
      </w:r>
      <w:r w:rsidR="00743BA8">
        <w:t>bedragen</w:t>
      </w:r>
      <w:r w:rsidR="00743BA8" w:rsidRPr="00743BA8">
        <w:t xml:space="preserve">. </w:t>
      </w:r>
    </w:p>
    <w:p w:rsidR="00743BA8" w:rsidRPr="00743BA8" w:rsidRDefault="00743BA8" w:rsidP="00031A3C">
      <w:pPr>
        <w:spacing w:after="200"/>
      </w:pPr>
      <w:r>
        <w:t>De verwachte 2% jaarlijkse bran</w:t>
      </w:r>
      <w:r w:rsidR="00540359">
        <w:t>ds</w:t>
      </w:r>
      <w:r>
        <w:t xml:space="preserve">tofbesparing is </w:t>
      </w:r>
      <w:r w:rsidR="008F4D8A">
        <w:t xml:space="preserve">veel </w:t>
      </w:r>
      <w:r w:rsidR="008200EB">
        <w:t>optimistischer</w:t>
      </w:r>
      <w:r w:rsidR="003D3838">
        <w:t xml:space="preserve"> dan </w:t>
      </w:r>
      <w:r>
        <w:t>de bevindingen van Peeters et al.</w:t>
      </w:r>
      <w:r w:rsidR="00540359">
        <w:t>(</w:t>
      </w:r>
      <w:r w:rsidR="00CE7054">
        <w:t xml:space="preserve">NLR </w:t>
      </w:r>
      <w:r w:rsidR="00540359">
        <w:t xml:space="preserve">2005). De technologische ontwikkeling van straalvliegtuigen vanaf de jaren zestig is toe aan zijn laatste fase, namelijk nu nog ongeveer 1% per jaar, geleidelijk afnemend tot </w:t>
      </w:r>
      <w:r w:rsidR="00CE7054">
        <w:t xml:space="preserve">jaarlijks </w:t>
      </w:r>
      <w:r w:rsidR="00540359">
        <w:t>0,7% in 2050. Ve</w:t>
      </w:r>
      <w:r w:rsidR="00540359">
        <w:t>r</w:t>
      </w:r>
      <w:r w:rsidR="00540359">
        <w:t>beteringen door zeer innovatieve technologie mogen niet voor</w:t>
      </w:r>
      <w:r>
        <w:t xml:space="preserve"> </w:t>
      </w:r>
      <w:r w:rsidR="00540359">
        <w:t xml:space="preserve">2050 in de totale luchtvloot worden verwacht. Ontwerpen van volledig klimaatneutrale vliegtuigen </w:t>
      </w:r>
      <w:r w:rsidR="00CE7054">
        <w:t xml:space="preserve">zijn </w:t>
      </w:r>
      <w:r w:rsidR="008F4D8A">
        <w:t>on</w:t>
      </w:r>
      <w:r w:rsidR="00CE7054">
        <w:t>bekend</w:t>
      </w:r>
      <w:r w:rsidR="00540359">
        <w:t xml:space="preserve">. </w:t>
      </w:r>
    </w:p>
    <w:p w:rsidR="00540359" w:rsidRDefault="00360768" w:rsidP="0091100C">
      <w:pPr>
        <w:spacing w:after="200"/>
      </w:pPr>
      <w:r>
        <w:t xml:space="preserve">Aan de hand van deze bevindingen, </w:t>
      </w:r>
      <w:r w:rsidR="001769BF">
        <w:t>twee</w:t>
      </w:r>
      <w:r>
        <w:t xml:space="preserve"> groei</w:t>
      </w:r>
      <w:r w:rsidR="00EA53E6">
        <w:t>scenario’s van IPCC (1999)</w:t>
      </w:r>
      <w:r w:rsidR="008F4D8A">
        <w:t xml:space="preserve"> </w:t>
      </w:r>
      <w:r>
        <w:t xml:space="preserve">en de onderzoeksresultaten van </w:t>
      </w:r>
      <w:r w:rsidR="00EA53E6">
        <w:t xml:space="preserve">Lee et al. (2009) </w:t>
      </w:r>
      <w:r>
        <w:t xml:space="preserve">zijn schattingen gemaakt van </w:t>
      </w:r>
      <w:r w:rsidR="001769BF">
        <w:t xml:space="preserve">brandstofgebruik, </w:t>
      </w:r>
      <w:r>
        <w:t xml:space="preserve">de </w:t>
      </w:r>
      <w:r w:rsidR="00EA53E6" w:rsidRPr="00EA53E6">
        <w:t>CO</w:t>
      </w:r>
      <w:r w:rsidR="00EA53E6" w:rsidRPr="00EA53E6">
        <w:rPr>
          <w:vertAlign w:val="subscript"/>
        </w:rPr>
        <w:t>2</w:t>
      </w:r>
      <w:r w:rsidR="00EA53E6">
        <w:t>-uitstoot en</w:t>
      </w:r>
      <w:r>
        <w:t xml:space="preserve"> de </w:t>
      </w:r>
      <w:r w:rsidR="00EA53E6">
        <w:t>opwarmend</w:t>
      </w:r>
      <w:r>
        <w:t>e</w:t>
      </w:r>
      <w:r w:rsidR="00EA53E6">
        <w:t xml:space="preserve"> effect</w:t>
      </w:r>
      <w:r>
        <w:t>en</w:t>
      </w:r>
      <w:r w:rsidR="00EA53E6">
        <w:t xml:space="preserve"> van zowel </w:t>
      </w:r>
      <w:r w:rsidR="00EA53E6" w:rsidRPr="00EA53E6">
        <w:t>CO</w:t>
      </w:r>
      <w:r w:rsidR="00EA53E6" w:rsidRPr="00EA53E6">
        <w:rPr>
          <w:vertAlign w:val="subscript"/>
        </w:rPr>
        <w:t>2</w:t>
      </w:r>
      <w:r w:rsidR="00EA53E6">
        <w:t xml:space="preserve"> als niet koolstofgebonden broeikasgassen van luchtvaart</w:t>
      </w:r>
      <w:r w:rsidR="008200EB">
        <w:t xml:space="preserve"> in 2050</w:t>
      </w:r>
      <w:r w:rsidR="00CE7054">
        <w:t xml:space="preserve">. </w:t>
      </w:r>
      <w:r w:rsidR="001769BF">
        <w:t xml:space="preserve">Als derde scenario is de situatie meegenomen waarin de luchtvaart na 2020 niet meer groeit. </w:t>
      </w:r>
    </w:p>
    <w:p w:rsidR="00C31850" w:rsidRPr="005B44E5" w:rsidRDefault="00D83A36" w:rsidP="00031A3C">
      <w:pPr>
        <w:spacing w:after="200"/>
        <w:rPr>
          <w:b/>
        </w:rPr>
      </w:pPr>
      <w:r w:rsidRPr="008F11CF">
        <w:rPr>
          <w:b/>
          <w:color w:val="7030A0"/>
        </w:rPr>
        <w:t>C</w:t>
      </w:r>
      <w:r w:rsidR="00C31850" w:rsidRPr="008F11CF">
        <w:rPr>
          <w:b/>
          <w:color w:val="7030A0"/>
        </w:rPr>
        <w:t>onclusie</w:t>
      </w:r>
      <w:r w:rsidRPr="008F11CF">
        <w:rPr>
          <w:b/>
          <w:color w:val="7030A0"/>
        </w:rPr>
        <w:t xml:space="preserve"> van de toetsing</w:t>
      </w:r>
      <w:r>
        <w:t xml:space="preserve">. </w:t>
      </w:r>
      <w:r w:rsidR="00C31850" w:rsidRPr="00C31850">
        <w:t>In een realistisch groeiscenario v</w:t>
      </w:r>
      <w:r w:rsidR="00C31850">
        <w:t xml:space="preserve">an IPCC zullen in 2050 </w:t>
      </w:r>
      <w:r w:rsidR="00C31850" w:rsidRPr="005B44E5">
        <w:rPr>
          <w:b/>
        </w:rPr>
        <w:t>zowel de uitstoot van CO</w:t>
      </w:r>
      <w:r w:rsidR="00C31850" w:rsidRPr="005B44E5">
        <w:rPr>
          <w:b/>
          <w:vertAlign w:val="subscript"/>
        </w:rPr>
        <w:t>2</w:t>
      </w:r>
      <w:r w:rsidR="00C31850" w:rsidRPr="005B44E5">
        <w:rPr>
          <w:b/>
        </w:rPr>
        <w:t xml:space="preserve"> als de gecombineerde opwarmingseffecten van alle broeikasgassen (inclusief niet koolstofgebo</w:t>
      </w:r>
      <w:r w:rsidR="00C31850" w:rsidRPr="005B44E5">
        <w:rPr>
          <w:b/>
        </w:rPr>
        <w:t>n</w:t>
      </w:r>
      <w:r w:rsidR="00C31850" w:rsidRPr="005B44E5">
        <w:rPr>
          <w:b/>
        </w:rPr>
        <w:t xml:space="preserve">den) van luchtvaart </w:t>
      </w:r>
      <w:r w:rsidR="007F3046" w:rsidRPr="005B44E5">
        <w:rPr>
          <w:b/>
        </w:rPr>
        <w:t>bijna vier keer zoveel bedragen als in 2005.</w:t>
      </w:r>
      <w:r w:rsidR="007F3046">
        <w:t xml:space="preserve"> Dit is het gevolg van het lagere redu</w:t>
      </w:r>
      <w:r w:rsidR="007F3046">
        <w:t>c</w:t>
      </w:r>
      <w:r w:rsidR="007F3046">
        <w:t xml:space="preserve">tie-effect van biobrandstoffen, de bescheiden brandstofbesparingen en een brandstofgebruik </w:t>
      </w:r>
      <w:r w:rsidR="001F7761">
        <w:t xml:space="preserve">in 2050 </w:t>
      </w:r>
      <w:r w:rsidR="007F3046">
        <w:t>van viermaal de hoeveelheid in 2005</w:t>
      </w:r>
      <w:r w:rsidR="001F7761">
        <w:t>. In een iets minder realistisch scenario van IPCC met een lagere groei</w:t>
      </w:r>
      <w:r w:rsidR="007F3046">
        <w:t xml:space="preserve"> </w:t>
      </w:r>
      <w:r w:rsidR="001F7761">
        <w:t xml:space="preserve">zal de toename in 2050 een factor van meer dan twee zijn ten opzichte van 2005. </w:t>
      </w:r>
      <w:r w:rsidR="00482C25">
        <w:t>Bij nulgroei</w:t>
      </w:r>
      <w:r w:rsidR="001F7761">
        <w:t xml:space="preserve"> na </w:t>
      </w:r>
      <w:r w:rsidR="001F7761">
        <w:lastRenderedPageBreak/>
        <w:t xml:space="preserve">2020 </w:t>
      </w:r>
      <w:r w:rsidR="005B44E5">
        <w:t xml:space="preserve">zullen de emissies en opwarmingseffecten in 2050 ongeveer gelijk zijn aan die in 2005. </w:t>
      </w:r>
      <w:r w:rsidR="005B44E5" w:rsidRPr="005B44E5">
        <w:rPr>
          <w:b/>
        </w:rPr>
        <w:t>Het doel van de luchtvaartindustrie om de CO</w:t>
      </w:r>
      <w:r w:rsidR="005B44E5" w:rsidRPr="005B44E5">
        <w:rPr>
          <w:b/>
          <w:vertAlign w:val="subscript"/>
        </w:rPr>
        <w:t>2</w:t>
      </w:r>
      <w:r w:rsidR="005B44E5" w:rsidRPr="005B44E5">
        <w:rPr>
          <w:b/>
        </w:rPr>
        <w:t xml:space="preserve">-emissies in 2050 terug te brengen tot 50% van die in 2005 is alleen haalbaar als de luchtvaart na 2020 zou krimpen. </w:t>
      </w:r>
    </w:p>
    <w:p w:rsidR="005B44E5" w:rsidRPr="00DF698B" w:rsidRDefault="005B44E5" w:rsidP="000324BD">
      <w:r w:rsidRPr="008F11CF">
        <w:rPr>
          <w:b/>
          <w:color w:val="7030A0"/>
        </w:rPr>
        <w:t>Gevolgen van luchtvaartgroei.</w:t>
      </w:r>
      <w:r w:rsidRPr="005B44E5">
        <w:rPr>
          <w:b/>
        </w:rPr>
        <w:t xml:space="preserve"> </w:t>
      </w:r>
      <w:r w:rsidRPr="005B44E5">
        <w:t>Het i</w:t>
      </w:r>
      <w:r>
        <w:t xml:space="preserve">s onwaarschijnlijk dat een wereld die veel moeite doet om zijn broeikasgasemissies in voldoende mate te reduceren, een dergelijke uitzondering </w:t>
      </w:r>
      <w:r w:rsidR="00CE7054">
        <w:t>van</w:t>
      </w:r>
      <w:r>
        <w:t xml:space="preserve"> de luchtvaart zal aanvaarden</w:t>
      </w:r>
      <w:r w:rsidR="00A633A1">
        <w:t>. De vervoersector buiten luchtvaart zal een gelijk speelveld eisen wat betreft reductieve</w:t>
      </w:r>
      <w:r w:rsidR="00A633A1">
        <w:t>r</w:t>
      </w:r>
      <w:r w:rsidR="00A633A1">
        <w:t>plichtingen en de uitzonderlijke positie die luchtvaart nu opeist, niet accepteren. Vervoerm</w:t>
      </w:r>
      <w:r w:rsidR="00D259F0">
        <w:t>iddelen</w:t>
      </w:r>
      <w:r w:rsidR="00A633A1">
        <w:t xml:space="preserve"> als treinen, bussen en auto’s zullen binnen enige decennia bijna volledig klimaatneutraal zijn. Straalvliegtu</w:t>
      </w:r>
      <w:r w:rsidR="00A633A1">
        <w:t>i</w:t>
      </w:r>
      <w:r w:rsidR="00A633A1">
        <w:t>gen hebben dat vooruitzicht niet. Intussen blijft de luchtvaart groeien en het broeikasgasprobleem steeds groter maken</w:t>
      </w:r>
      <w:r w:rsidR="00DF698B">
        <w:t xml:space="preserve">. Als dit een van de oorzaken zou worden van een opwarming van vier of meer graden, dan zou de luchtvaartindustrie </w:t>
      </w:r>
      <w:r w:rsidR="00D259F0">
        <w:t xml:space="preserve">niet alleen </w:t>
      </w:r>
      <w:r w:rsidR="00DF698B">
        <w:t xml:space="preserve">aan de instorting van de wereldeconomie </w:t>
      </w:r>
      <w:r w:rsidR="00D259F0">
        <w:t xml:space="preserve">bijdragen, maar ook </w:t>
      </w:r>
      <w:r w:rsidR="00DF698B">
        <w:t xml:space="preserve">aan zijn eigen ondergang. In zijn boek </w:t>
      </w:r>
      <w:r w:rsidR="00DF698B" w:rsidRPr="00482C25">
        <w:rPr>
          <w:i/>
        </w:rPr>
        <w:t>Zes graden</w:t>
      </w:r>
      <w:r w:rsidR="00DF698B" w:rsidRPr="00DF698B">
        <w:t xml:space="preserve"> zegt Mark </w:t>
      </w:r>
      <w:proofErr w:type="spellStart"/>
      <w:r w:rsidR="00DF698B" w:rsidRPr="00DF698B">
        <w:t>Lynas</w:t>
      </w:r>
      <w:proofErr w:type="spellEnd"/>
      <w:r w:rsidR="00D259F0">
        <w:t xml:space="preserve"> (2007)</w:t>
      </w:r>
      <w:r w:rsidR="00DF698B" w:rsidRPr="00DF698B">
        <w:t>: “</w:t>
      </w:r>
      <w:r w:rsidR="00A6070C">
        <w:t>De i</w:t>
      </w:r>
      <w:r w:rsidR="00DF698B" w:rsidRPr="00DF698B">
        <w:t>ns</w:t>
      </w:r>
      <w:r w:rsidR="00DF698B">
        <w:t>t</w:t>
      </w:r>
      <w:r w:rsidR="00DF698B" w:rsidRPr="00DF698B">
        <w:t>orting v</w:t>
      </w:r>
      <w:r w:rsidR="00DF698B">
        <w:t xml:space="preserve">an de beschaving zal als de </w:t>
      </w:r>
      <w:r w:rsidR="00A6070C">
        <w:t xml:space="preserve">vernietigende </w:t>
      </w:r>
      <w:r w:rsidR="00EC1676">
        <w:t>drukgolf</w:t>
      </w:r>
      <w:r w:rsidR="00A6070C">
        <w:t xml:space="preserve"> van een neutronenbom over de aardbol vegen”. Zijn uitgesproken samenvatting is te horen op </w:t>
      </w:r>
      <w:hyperlink r:id="rId17" w:history="1">
        <w:proofErr w:type="spellStart"/>
        <w:r w:rsidR="00A6070C">
          <w:rPr>
            <w:rStyle w:val="Hyperlink"/>
          </w:rPr>
          <w:t>Youtube</w:t>
        </w:r>
        <w:proofErr w:type="spellEnd"/>
      </w:hyperlink>
      <w:r w:rsidR="00A6070C" w:rsidRPr="00A6070C">
        <w:t>.</w:t>
      </w:r>
    </w:p>
    <w:p w:rsidR="00EC1676" w:rsidRDefault="00A6070C" w:rsidP="005455B1">
      <w:pPr>
        <w:spacing w:after="200"/>
      </w:pPr>
      <w:r w:rsidRPr="008F11CF">
        <w:rPr>
          <w:b/>
          <w:color w:val="7030A0"/>
        </w:rPr>
        <w:t>Ambitieuzere doelstellingen.</w:t>
      </w:r>
      <w:r>
        <w:rPr>
          <w:b/>
        </w:rPr>
        <w:t xml:space="preserve"> </w:t>
      </w:r>
      <w:r>
        <w:t xml:space="preserve">Volgens </w:t>
      </w:r>
      <w:r w:rsidRPr="00A6070C">
        <w:t>CE Delft (Faber et al., 2009)</w:t>
      </w:r>
      <w:r w:rsidR="008200EB">
        <w:t xml:space="preserve"> </w:t>
      </w:r>
      <w:r>
        <w:t>is</w:t>
      </w:r>
      <w:r w:rsidR="00D259F0">
        <w:t xml:space="preserve"> </w:t>
      </w:r>
      <w:r w:rsidR="00EC1676">
        <w:t>“e</w:t>
      </w:r>
      <w:r w:rsidR="00B46ADC" w:rsidRPr="00B46ADC">
        <w:t>en voldoende bijdrage aan</w:t>
      </w:r>
      <w:r w:rsidR="00EC1676">
        <w:t xml:space="preserve"> de wereldwijde klimaatdoelen </w:t>
      </w:r>
      <w:r w:rsidR="00B46ADC" w:rsidRPr="00B46ADC">
        <w:t>alleen mogelijk met een beperking van het vliegverkeer</w:t>
      </w:r>
      <w:r w:rsidR="00B46ADC">
        <w:t xml:space="preserve">”. </w:t>
      </w:r>
    </w:p>
    <w:p w:rsidR="00EC1676" w:rsidRDefault="00A551D1" w:rsidP="005455B1">
      <w:pPr>
        <w:spacing w:after="200"/>
      </w:pPr>
      <w:r w:rsidRPr="00A551D1">
        <w:t>De combinatie van reductieplannen v</w:t>
      </w:r>
      <w:r>
        <w:t>an de luchtvaartindustrie en ICAO toont een absurditeit</w:t>
      </w:r>
      <w:r w:rsidR="00DF3922">
        <w:t xml:space="preserve">: </w:t>
      </w:r>
      <w:r>
        <w:t xml:space="preserve"> </w:t>
      </w:r>
      <w:r w:rsidR="00DF3922">
        <w:t>enerzijds</w:t>
      </w:r>
      <w:r w:rsidR="00FE0F80">
        <w:t xml:space="preserve"> </w:t>
      </w:r>
      <w:r>
        <w:t>een indrukwekkende</w:t>
      </w:r>
      <w:r w:rsidR="00E21C25">
        <w:t xml:space="preserve"> </w:t>
      </w:r>
      <w:r w:rsidR="005E5B53">
        <w:t xml:space="preserve">maar feitelijk onhaalbare </w:t>
      </w:r>
      <w:r w:rsidR="00E21C25">
        <w:t xml:space="preserve">emissiereductie </w:t>
      </w:r>
      <w:r w:rsidR="005E5B53">
        <w:t xml:space="preserve">beloven en </w:t>
      </w:r>
      <w:r w:rsidR="00EC1676">
        <w:t xml:space="preserve">er </w:t>
      </w:r>
      <w:r w:rsidR="00DF3922">
        <w:t xml:space="preserve">anderzijds </w:t>
      </w:r>
      <w:r w:rsidR="005E5B53">
        <w:t>er van uitgaan</w:t>
      </w:r>
      <w:r w:rsidR="00DF3922">
        <w:t xml:space="preserve"> dat de luchtvaart </w:t>
      </w:r>
      <w:r w:rsidR="005E5B53">
        <w:t>moet</w:t>
      </w:r>
      <w:r w:rsidR="00FE0F80">
        <w:t xml:space="preserve"> blijven</w:t>
      </w:r>
      <w:r w:rsidR="00DF3922">
        <w:t xml:space="preserve"> groeien. </w:t>
      </w:r>
      <w:r w:rsidR="000274D2" w:rsidRPr="000274D2">
        <w:t xml:space="preserve">ICAO lijkt echter wel iets realistischer </w:t>
      </w:r>
      <w:r w:rsidR="00587D71">
        <w:t xml:space="preserve">te zijn </w:t>
      </w:r>
      <w:r w:rsidR="000274D2" w:rsidRPr="000274D2">
        <w:t>d</w:t>
      </w:r>
      <w:r w:rsidR="000274D2">
        <w:t xml:space="preserve">oor toe te geven dat </w:t>
      </w:r>
      <w:r w:rsidR="0088183E">
        <w:t>“</w:t>
      </w:r>
      <w:r w:rsidR="000274D2">
        <w:t>het onwaarschijnlijk is dat</w:t>
      </w:r>
      <w:r w:rsidR="00587D71">
        <w:t xml:space="preserve"> het </w:t>
      </w:r>
      <w:r w:rsidR="000274D2">
        <w:t>ambitieuze doel van de 2%</w:t>
      </w:r>
      <w:r w:rsidR="00EC1676">
        <w:t xml:space="preserve"> </w:t>
      </w:r>
      <w:r w:rsidR="000274D2">
        <w:t xml:space="preserve">jaarlijkse brandstofbesparing </w:t>
      </w:r>
      <w:r w:rsidR="00587D71">
        <w:t>die mate van reductie</w:t>
      </w:r>
      <w:r w:rsidR="000274D2">
        <w:t xml:space="preserve"> zal opleveren </w:t>
      </w:r>
      <w:r w:rsidR="00587D71">
        <w:t>die</w:t>
      </w:r>
      <w:r w:rsidR="000274D2">
        <w:t xml:space="preserve"> nodig is om de </w:t>
      </w:r>
      <w:r w:rsidR="00587D71">
        <w:t>bijdrage van de luchtvaart aan klimaatverandering in abs</w:t>
      </w:r>
      <w:r w:rsidR="00587D71">
        <w:t>o</w:t>
      </w:r>
      <w:r w:rsidR="00587D71">
        <w:t xml:space="preserve">lute zin te stabiliseren en daarna te verminderen, en dat </w:t>
      </w:r>
      <w:r w:rsidR="00587D71" w:rsidRPr="00587D71">
        <w:rPr>
          <w:i/>
        </w:rPr>
        <w:t>ambitieuzere doelstellingen</w:t>
      </w:r>
      <w:r w:rsidR="00587D71">
        <w:t xml:space="preserve"> </w:t>
      </w:r>
      <w:r w:rsidR="005E5B53">
        <w:t xml:space="preserve">moeten worden </w:t>
      </w:r>
      <w:r w:rsidR="00587D71">
        <w:t xml:space="preserve"> overw</w:t>
      </w:r>
      <w:r w:rsidR="005E5B53">
        <w:t>o</w:t>
      </w:r>
      <w:r w:rsidR="00587D71">
        <w:t xml:space="preserve">gen die de luchtvaart duurzaam maken. </w:t>
      </w:r>
      <w:r w:rsidR="0088183E">
        <w:t xml:space="preserve">(…) Om een duurzame luchtvaart te bevorderen moet in </w:t>
      </w:r>
      <w:r w:rsidR="00D4555F">
        <w:t xml:space="preserve">brede zin worden gewerkt aan </w:t>
      </w:r>
      <w:r w:rsidR="0088183E">
        <w:t xml:space="preserve">technologie en normen,  en  </w:t>
      </w:r>
      <w:r w:rsidR="00D4555F">
        <w:t>zijn operationele en marktgerichte maatr</w:t>
      </w:r>
      <w:r w:rsidR="00D4555F">
        <w:t>e</w:t>
      </w:r>
      <w:r w:rsidR="00D4555F">
        <w:t xml:space="preserve">gelen (MBM: </w:t>
      </w:r>
      <w:proofErr w:type="spellStart"/>
      <w:r w:rsidR="00D4555F">
        <w:t>market-based</w:t>
      </w:r>
      <w:proofErr w:type="spellEnd"/>
      <w:r w:rsidR="00D4555F">
        <w:t xml:space="preserve"> </w:t>
      </w:r>
      <w:proofErr w:type="spellStart"/>
      <w:r w:rsidR="00D4555F">
        <w:t>measures</w:t>
      </w:r>
      <w:proofErr w:type="spellEnd"/>
      <w:r w:rsidR="00D4555F">
        <w:t xml:space="preserve">)  nodig om de uitstoot te verminderen.” </w:t>
      </w:r>
      <w:r w:rsidR="00F670AA">
        <w:t xml:space="preserve"> </w:t>
      </w:r>
      <w:r w:rsidR="00D4555F">
        <w:t xml:space="preserve">Klaarblijkelijk </w:t>
      </w:r>
      <w:r w:rsidR="00F670AA">
        <w:t>leiden</w:t>
      </w:r>
      <w:r w:rsidR="00D4555F">
        <w:t xml:space="preserve"> dergelijke maatregelen </w:t>
      </w:r>
      <w:r w:rsidR="00F670AA">
        <w:t>tot kostenverhoging</w:t>
      </w:r>
      <w:r w:rsidR="00D4555F">
        <w:t xml:space="preserve">, maar ze zullen de luchtvaartgroei </w:t>
      </w:r>
      <w:r w:rsidR="005E5B53">
        <w:t xml:space="preserve">als zodanig niet direct </w:t>
      </w:r>
      <w:r w:rsidR="00D4555F">
        <w:t xml:space="preserve">begrenzen. </w:t>
      </w:r>
      <w:r w:rsidR="00A01804">
        <w:t>De ‘ambitieuzere doelstellingen’ van ICAO zouden eigenlijk gericht moeten zijn op een dra</w:t>
      </w:r>
      <w:r w:rsidR="00A01804">
        <w:t>s</w:t>
      </w:r>
      <w:r w:rsidR="00EC1676">
        <w:t>tische beperking van de groei. Het is echter de vraag of</w:t>
      </w:r>
      <w:r w:rsidR="008200EB">
        <w:t xml:space="preserve"> de luchtvaartindustrie </w:t>
      </w:r>
      <w:r w:rsidR="00EC1676">
        <w:t xml:space="preserve">dat ooit zal </w:t>
      </w:r>
      <w:r w:rsidR="008200EB">
        <w:t>toezegg</w:t>
      </w:r>
      <w:r w:rsidR="00EC1676">
        <w:t>en.</w:t>
      </w:r>
      <w:r w:rsidR="00A01804">
        <w:t xml:space="preserve"> </w:t>
      </w:r>
    </w:p>
    <w:p w:rsidR="00A01804" w:rsidRPr="00D35CE5" w:rsidRDefault="00A01804" w:rsidP="005455B1">
      <w:pPr>
        <w:spacing w:after="200"/>
      </w:pPr>
      <w:r>
        <w:t>Effectieve groeibeperking na 2020 zou minstens de toename van de uitstoot kunnen stoppen</w:t>
      </w:r>
      <w:r w:rsidR="00D35CE5">
        <w:t xml:space="preserve">. </w:t>
      </w:r>
      <w:r w:rsidR="00D35CE5" w:rsidRPr="00D35CE5">
        <w:t>Dat zou onvoldoende zijn om de</w:t>
      </w:r>
      <w:r w:rsidR="00F670AA">
        <w:t xml:space="preserve"> reductie van </w:t>
      </w:r>
      <w:r w:rsidR="00D35CE5" w:rsidRPr="00D35CE5">
        <w:t xml:space="preserve"> 50% CO</w:t>
      </w:r>
      <w:r w:rsidR="00D35CE5" w:rsidRPr="00D35CE5">
        <w:rPr>
          <w:vertAlign w:val="subscript"/>
        </w:rPr>
        <w:t>2</w:t>
      </w:r>
      <w:r w:rsidR="00D35CE5" w:rsidRPr="00D35CE5">
        <w:t xml:space="preserve"> te r</w:t>
      </w:r>
      <w:r w:rsidR="00D35CE5">
        <w:t>ealiseren, want die vereist een aanzienlijke krimp van de luchtvaart. Echter, op dit moment mikken op</w:t>
      </w:r>
      <w:r w:rsidR="009B07B9">
        <w:t xml:space="preserve"> een</w:t>
      </w:r>
      <w:r w:rsidR="00D35CE5">
        <w:t xml:space="preserve"> krimp</w:t>
      </w:r>
      <w:r w:rsidR="009B07B9">
        <w:t xml:space="preserve">ende luchtvaart </w:t>
      </w:r>
      <w:r w:rsidR="00D35CE5">
        <w:t xml:space="preserve"> </w:t>
      </w:r>
      <w:r w:rsidR="009B07B9">
        <w:t xml:space="preserve">zou </w:t>
      </w:r>
      <w:r w:rsidR="00D35CE5">
        <w:t xml:space="preserve">een brug te ver zijn. </w:t>
      </w:r>
      <w:r w:rsidR="009B07B9">
        <w:t xml:space="preserve"> </w:t>
      </w:r>
    </w:p>
    <w:p w:rsidR="00D97A56" w:rsidRPr="00D35CE5" w:rsidRDefault="00EF0291" w:rsidP="00F3123D">
      <w:pPr>
        <w:spacing w:after="0" w:line="240" w:lineRule="auto"/>
        <w:rPr>
          <w:sz w:val="26"/>
          <w:szCs w:val="26"/>
        </w:rPr>
      </w:pPr>
      <w:r w:rsidRPr="00EC1676">
        <w:rPr>
          <w:color w:val="7030A0"/>
          <w:sz w:val="24"/>
          <w:szCs w:val="24"/>
        </w:rPr>
        <w:t>Conclusi</w:t>
      </w:r>
      <w:r w:rsidR="00D35CE5" w:rsidRPr="00EC1676">
        <w:rPr>
          <w:color w:val="7030A0"/>
          <w:sz w:val="24"/>
          <w:szCs w:val="24"/>
        </w:rPr>
        <w:t>e</w:t>
      </w:r>
      <w:r w:rsidRPr="00EC1676">
        <w:rPr>
          <w:color w:val="7030A0"/>
          <w:sz w:val="24"/>
          <w:szCs w:val="24"/>
        </w:rPr>
        <w:t xml:space="preserve">: </w:t>
      </w:r>
      <w:r w:rsidR="00D35CE5" w:rsidRPr="00EC1676">
        <w:rPr>
          <w:color w:val="7030A0"/>
          <w:sz w:val="24"/>
          <w:szCs w:val="24"/>
        </w:rPr>
        <w:t xml:space="preserve">de luchtvaart moet op zijn minst na 2020 ophouden met groeien om de broeikasgasemissies </w:t>
      </w:r>
      <w:r w:rsidR="002913D5" w:rsidRPr="00EC1676">
        <w:rPr>
          <w:color w:val="7030A0"/>
          <w:sz w:val="24"/>
          <w:szCs w:val="24"/>
        </w:rPr>
        <w:t>niet te laten toenemen</w:t>
      </w:r>
      <w:r w:rsidR="007F708D" w:rsidRPr="00D35CE5">
        <w:rPr>
          <w:sz w:val="26"/>
          <w:szCs w:val="26"/>
        </w:rPr>
        <w:t xml:space="preserve">. </w:t>
      </w:r>
    </w:p>
    <w:p w:rsidR="00AA453E" w:rsidRPr="00D35CE5" w:rsidRDefault="00AA453E" w:rsidP="00F3123D">
      <w:pPr>
        <w:spacing w:after="0"/>
        <w:jc w:val="left"/>
        <w:rPr>
          <w:rFonts w:asciiTheme="majorHAnsi" w:eastAsiaTheme="majorEastAsia" w:hAnsiTheme="majorHAnsi" w:cstheme="majorBidi"/>
          <w:bCs/>
          <w:color w:val="1F497D" w:themeColor="text2"/>
          <w:sz w:val="32"/>
          <w:szCs w:val="26"/>
        </w:rPr>
      </w:pPr>
      <w:bookmarkStart w:id="6" w:name="_Toc348854969"/>
      <w:r w:rsidRPr="00D35CE5">
        <w:br w:type="page"/>
      </w:r>
    </w:p>
    <w:p w:rsidR="00745EF9" w:rsidRPr="00AA453E" w:rsidRDefault="00687910" w:rsidP="00745EF9">
      <w:pPr>
        <w:pStyle w:val="Kop2"/>
      </w:pPr>
      <w:bookmarkStart w:id="7" w:name="_Toc349748369"/>
      <w:r w:rsidRPr="00AA453E">
        <w:lastRenderedPageBreak/>
        <w:t xml:space="preserve">2. </w:t>
      </w:r>
      <w:r w:rsidR="00AA453E" w:rsidRPr="00AA453E">
        <w:t>Economische gevolgen van een groeistop in de luchtvaart</w:t>
      </w:r>
      <w:bookmarkEnd w:id="7"/>
      <w:r w:rsidR="004524CE" w:rsidRPr="00AA453E">
        <w:t xml:space="preserve">  </w:t>
      </w:r>
      <w:bookmarkEnd w:id="6"/>
    </w:p>
    <w:p w:rsidR="004753BD" w:rsidRPr="001E79E4" w:rsidRDefault="001E79E4" w:rsidP="00B55821">
      <w:r w:rsidRPr="008F11CF">
        <w:rPr>
          <w:b/>
          <w:color w:val="7030A0"/>
        </w:rPr>
        <w:t>Oppositie</w:t>
      </w:r>
      <w:r w:rsidR="004753BD" w:rsidRPr="008F11CF">
        <w:rPr>
          <w:b/>
          <w:color w:val="7030A0"/>
        </w:rPr>
        <w:t>.</w:t>
      </w:r>
      <w:r w:rsidR="004753BD" w:rsidRPr="001E79E4">
        <w:rPr>
          <w:b/>
        </w:rPr>
        <w:t xml:space="preserve"> </w:t>
      </w:r>
      <w:r w:rsidR="004753BD" w:rsidRPr="001E79E4">
        <w:t xml:space="preserve">Het </w:t>
      </w:r>
      <w:r w:rsidRPr="001E79E4">
        <w:t>opleggen van grenzen aan</w:t>
      </w:r>
      <w:r w:rsidR="004753BD" w:rsidRPr="001E79E4">
        <w:t xml:space="preserve"> de groei zal op hevig</w:t>
      </w:r>
      <w:r w:rsidRPr="001E79E4">
        <w:t>e oppositie</w:t>
      </w:r>
      <w:r w:rsidR="004753BD" w:rsidRPr="001E79E4">
        <w:t xml:space="preserve"> stuiten, zowel van de luch</w:t>
      </w:r>
      <w:r w:rsidR="004753BD" w:rsidRPr="001E79E4">
        <w:t>t</w:t>
      </w:r>
      <w:r w:rsidR="004753BD" w:rsidRPr="001E79E4">
        <w:t>vaartindustrie als van politici die luchtvaartgroei opvatten als een sterke economische motor. Het str</w:t>
      </w:r>
      <w:r w:rsidR="004753BD" w:rsidRPr="001E79E4">
        <w:t>e</w:t>
      </w:r>
      <w:r w:rsidR="004753BD" w:rsidRPr="001E79E4">
        <w:t xml:space="preserve">ven naar groei is stevig verankerd in de zakelijke strategie van de luchtvaartindustrie. </w:t>
      </w:r>
      <w:r w:rsidR="002913D5">
        <w:t>Het adagium is “Groei moet, stilstand is achteruitgang”</w:t>
      </w:r>
      <w:r w:rsidR="00AB76F1" w:rsidRPr="001E79E4">
        <w:t>. Luchtvaartmaatschappijen, luchthavens en vliegtuigfabrikanten zijn constant bezig hun winsten en aandeelhouderswaarden te verhogen. Sterke concurrentie, bijna een prijsoorlog tussen luchtvaartmaatschappijen levert smalle marges op</w:t>
      </w:r>
      <w:r w:rsidR="00EC1676">
        <w:t>. Hoge</w:t>
      </w:r>
      <w:r w:rsidR="00AB76F1" w:rsidRPr="001E79E4">
        <w:t xml:space="preserve"> brandstofprijzen </w:t>
      </w:r>
      <w:r w:rsidRPr="001E79E4">
        <w:t xml:space="preserve">leiden </w:t>
      </w:r>
      <w:r w:rsidR="00AB76F1" w:rsidRPr="001E79E4">
        <w:t xml:space="preserve">zelfs </w:t>
      </w:r>
      <w:r w:rsidRPr="001E79E4">
        <w:t xml:space="preserve">tot </w:t>
      </w:r>
      <w:r w:rsidR="00AB76F1" w:rsidRPr="001E79E4">
        <w:t xml:space="preserve">verliezen. Luchtvaart betekent </w:t>
      </w:r>
      <w:r w:rsidR="002913D5">
        <w:t xml:space="preserve">zoveel mogelijk </w:t>
      </w:r>
      <w:r w:rsidR="00B05AE6" w:rsidRPr="001E79E4">
        <w:t>passagiers</w:t>
      </w:r>
      <w:r w:rsidR="002913D5">
        <w:t xml:space="preserve"> naar zoveel mogelijk bestemmingen ve</w:t>
      </w:r>
      <w:r w:rsidR="002913D5">
        <w:t>r</w:t>
      </w:r>
      <w:r w:rsidR="002913D5">
        <w:t xml:space="preserve">voeren tegen </w:t>
      </w:r>
      <w:r w:rsidR="00B05AE6" w:rsidRPr="001E79E4">
        <w:t>veel lager</w:t>
      </w:r>
      <w:r w:rsidR="00152AD2">
        <w:t>e tarieven</w:t>
      </w:r>
      <w:r w:rsidR="00B05AE6" w:rsidRPr="001E79E4">
        <w:t xml:space="preserve"> dan die in andere vervoermodaliteiten. Grote hubs concurreren met elkaar om nog meer overstappende passagiers aan te trekken en hun aandeel in de wereldmarkt te vergroten.</w:t>
      </w:r>
      <w:r w:rsidR="00AB76F1" w:rsidRPr="001E79E4">
        <w:t xml:space="preserve"> </w:t>
      </w:r>
    </w:p>
    <w:p w:rsidR="004753BD" w:rsidRPr="001E79E4" w:rsidRDefault="00B05AE6" w:rsidP="00B55821">
      <w:r w:rsidRPr="008F11CF">
        <w:rPr>
          <w:b/>
          <w:color w:val="7030A0"/>
        </w:rPr>
        <w:t>Het economische argument</w:t>
      </w:r>
      <w:r w:rsidRPr="001E79E4">
        <w:rPr>
          <w:b/>
        </w:rPr>
        <w:t xml:space="preserve">. </w:t>
      </w:r>
      <w:r w:rsidRPr="001E79E4">
        <w:t xml:space="preserve">Een algemeen gebruikelijk argument is dat luchtvaartgroei goed is voor de economie of zelfs dat de werkgelegenheid in gevaar zou komen </w:t>
      </w:r>
      <w:r w:rsidR="0013080E">
        <w:t>als</w:t>
      </w:r>
      <w:r w:rsidRPr="001E79E4">
        <w:t xml:space="preserve"> luchtvaart niet meer zou groeien</w:t>
      </w:r>
      <w:r w:rsidR="00590BAD" w:rsidRPr="001E79E4">
        <w:t xml:space="preserve">. In ontwikkelingslanden met een lage industrialisatiegraad en weinig werkgelegenheid mag dat waar zijn, maar niet in welvarende ontwikkelde landen </w:t>
      </w:r>
      <w:r w:rsidR="009D6C0C">
        <w:t>waarin</w:t>
      </w:r>
      <w:r w:rsidR="0013080E">
        <w:t xml:space="preserve"> een volgroeide</w:t>
      </w:r>
      <w:r w:rsidR="00590BAD" w:rsidRPr="001E79E4">
        <w:t xml:space="preserve"> economie veel alternatieven  </w:t>
      </w:r>
      <w:r w:rsidR="009D6C0C">
        <w:t xml:space="preserve">biedt </w:t>
      </w:r>
      <w:r w:rsidR="00590BAD" w:rsidRPr="001E79E4">
        <w:t xml:space="preserve">voor </w:t>
      </w:r>
      <w:r w:rsidR="0013080E">
        <w:t>nieuwe</w:t>
      </w:r>
      <w:r w:rsidR="00590BAD" w:rsidRPr="001E79E4">
        <w:t xml:space="preserve"> werkgelegenheid en </w:t>
      </w:r>
      <w:r w:rsidR="0013080E">
        <w:t>bedrijfs</w:t>
      </w:r>
      <w:r w:rsidR="00D37F44">
        <w:t>vestigingen</w:t>
      </w:r>
      <w:r w:rsidR="0013080E">
        <w:t xml:space="preserve"> </w:t>
      </w:r>
      <w:r w:rsidR="00590BAD" w:rsidRPr="001E79E4">
        <w:t xml:space="preserve">die </w:t>
      </w:r>
      <w:r w:rsidR="00D37F44">
        <w:t xml:space="preserve">niet </w:t>
      </w:r>
      <w:r w:rsidR="008200EB">
        <w:t xml:space="preserve">afhankelijk zijn van </w:t>
      </w:r>
      <w:r w:rsidR="00D37F44">
        <w:t xml:space="preserve"> </w:t>
      </w:r>
      <w:r w:rsidR="00590BAD" w:rsidRPr="001E79E4">
        <w:t>luchtvaartgroei. In de EU is bescherming van werkgelegenheid geen valide argument voor de uitbreiding van lucht</w:t>
      </w:r>
      <w:r w:rsidR="00EC1676">
        <w:t>havens</w:t>
      </w:r>
      <w:r w:rsidR="00590BAD" w:rsidRPr="001E79E4">
        <w:t xml:space="preserve"> (Boon et al., 2008).</w:t>
      </w:r>
    </w:p>
    <w:p w:rsidR="00590BAD" w:rsidRPr="00D5382C" w:rsidRDefault="00590BAD" w:rsidP="00B55821">
      <w:r w:rsidRPr="001E79E4">
        <w:t xml:space="preserve">Een groeistop van de luchtvaart zou </w:t>
      </w:r>
      <w:r w:rsidR="009D6C0C">
        <w:t xml:space="preserve">wel nadelig kunnen zijn voor </w:t>
      </w:r>
      <w:r w:rsidRPr="001E79E4">
        <w:t xml:space="preserve">de economie </w:t>
      </w:r>
      <w:r w:rsidR="00EC1676">
        <w:t>en</w:t>
      </w:r>
      <w:r w:rsidRPr="001E79E4">
        <w:t xml:space="preserve"> samenleving </w:t>
      </w:r>
      <w:r w:rsidR="009D6C0C">
        <w:t xml:space="preserve">als </w:t>
      </w:r>
      <w:r w:rsidR="008104FD">
        <w:t xml:space="preserve">een </w:t>
      </w:r>
      <w:r w:rsidR="00D5382C" w:rsidRPr="001E79E4">
        <w:t xml:space="preserve">groeiende marktvraag </w:t>
      </w:r>
      <w:r w:rsidR="008104FD">
        <w:t xml:space="preserve">van </w:t>
      </w:r>
      <w:r w:rsidR="00D5382C" w:rsidRPr="001E79E4">
        <w:t xml:space="preserve">reizen met een </w:t>
      </w:r>
      <w:r w:rsidR="00D5382C" w:rsidRPr="001E79E4">
        <w:rPr>
          <w:i/>
        </w:rPr>
        <w:t>zakelijk of maatschappelijk doel</w:t>
      </w:r>
      <w:r w:rsidR="00EC1676" w:rsidRPr="00EC1676">
        <w:t xml:space="preserve"> </w:t>
      </w:r>
      <w:r w:rsidR="00EC1676">
        <w:t>niet kan worden opgevangen</w:t>
      </w:r>
      <w:r w:rsidR="00D5382C" w:rsidRPr="001E79E4">
        <w:rPr>
          <w:i/>
        </w:rPr>
        <w:t>.</w:t>
      </w:r>
      <w:r w:rsidR="00D5382C" w:rsidRPr="00D5382C">
        <w:rPr>
          <w:i/>
          <w:sz w:val="21"/>
          <w:szCs w:val="21"/>
        </w:rPr>
        <w:t xml:space="preserve"> </w:t>
      </w:r>
      <w:r w:rsidR="00D5382C" w:rsidRPr="00D5382C">
        <w:t>Zakenreizen leveren een directe bijdrage aan de economie</w:t>
      </w:r>
      <w:r w:rsidR="008104FD">
        <w:t>, reizen</w:t>
      </w:r>
      <w:r w:rsidR="00D5382C">
        <w:t xml:space="preserve"> met een maatschappelijk doel </w:t>
      </w:r>
      <w:r w:rsidR="001369E0">
        <w:t>zijn goed voor</w:t>
      </w:r>
      <w:r w:rsidR="00D5382C">
        <w:t xml:space="preserve"> de kwaliteit van de samenleving. Voor de vrijetijdsmarkt zou het nadeel </w:t>
      </w:r>
      <w:r w:rsidR="001369E0">
        <w:t xml:space="preserve">van een groeistop </w:t>
      </w:r>
      <w:r w:rsidR="00D5382C">
        <w:t xml:space="preserve">minder groot zijn. Inkomend toerisme draagt weliswaar bij aan de welvaart van een land, maar uitgaand toerisme en vakantiereizen hebben weer een negatieve invloed op het bruto nationaal inkomen (Boon et al.). </w:t>
      </w:r>
      <w:r w:rsidR="001369E0">
        <w:t xml:space="preserve">Bovendien zijn er veel alternatieven voor vrijetijdsreizen die de welvaart en samenleving geen schade toebrengen. </w:t>
      </w:r>
      <w:r w:rsidRPr="00D5382C">
        <w:t xml:space="preserve"> </w:t>
      </w:r>
    </w:p>
    <w:p w:rsidR="005314AB" w:rsidRPr="00583AF8" w:rsidRDefault="00826399" w:rsidP="00F3123D">
      <w:pPr>
        <w:spacing w:after="0" w:line="240" w:lineRule="auto"/>
      </w:pPr>
      <w:r w:rsidRPr="00AE72EC">
        <w:rPr>
          <w:color w:val="7030A0"/>
          <w:sz w:val="24"/>
          <w:szCs w:val="24"/>
        </w:rPr>
        <w:t>Conclusi</w:t>
      </w:r>
      <w:r w:rsidR="00583AF8" w:rsidRPr="00AE72EC">
        <w:rPr>
          <w:color w:val="7030A0"/>
          <w:sz w:val="24"/>
          <w:szCs w:val="24"/>
        </w:rPr>
        <w:t>e</w:t>
      </w:r>
      <w:r w:rsidRPr="00AE72EC">
        <w:rPr>
          <w:color w:val="7030A0"/>
          <w:sz w:val="24"/>
          <w:szCs w:val="24"/>
        </w:rPr>
        <w:t xml:space="preserve">: </w:t>
      </w:r>
      <w:r w:rsidR="00583AF8" w:rsidRPr="00AE72EC">
        <w:rPr>
          <w:color w:val="7030A0"/>
          <w:sz w:val="24"/>
          <w:szCs w:val="24"/>
        </w:rPr>
        <w:t xml:space="preserve">Maatregelen die de luchtvaartgroei beperken, dienen de vervoermarkt voor zakelijke en maatschappelijke doeleinden te </w:t>
      </w:r>
      <w:r w:rsidR="00377F47" w:rsidRPr="00AE72EC">
        <w:rPr>
          <w:color w:val="7030A0"/>
          <w:sz w:val="24"/>
          <w:szCs w:val="24"/>
        </w:rPr>
        <w:t>ontzien</w:t>
      </w:r>
      <w:r w:rsidR="00583AF8">
        <w:rPr>
          <w:sz w:val="26"/>
          <w:szCs w:val="26"/>
        </w:rPr>
        <w:t xml:space="preserve">. </w:t>
      </w:r>
    </w:p>
    <w:p w:rsidR="00AE72EC" w:rsidRDefault="00AE72EC" w:rsidP="00F3123D">
      <w:pPr>
        <w:spacing w:after="0"/>
        <w:rPr>
          <w:b/>
        </w:rPr>
      </w:pPr>
    </w:p>
    <w:p w:rsidR="00583AF8" w:rsidRDefault="00583AF8" w:rsidP="00641C41">
      <w:r w:rsidRPr="008F11CF">
        <w:rPr>
          <w:b/>
          <w:color w:val="7030A0"/>
        </w:rPr>
        <w:t>Politieke wil.</w:t>
      </w:r>
      <w:r>
        <w:rPr>
          <w:b/>
        </w:rPr>
        <w:t xml:space="preserve"> </w:t>
      </w:r>
      <w:r w:rsidRPr="00583AF8">
        <w:t xml:space="preserve">De luchtvaartindustrie </w:t>
      </w:r>
      <w:r>
        <w:t xml:space="preserve">stelt bij publiek en </w:t>
      </w:r>
      <w:r w:rsidR="007668AD">
        <w:t>overheid</w:t>
      </w:r>
      <w:r>
        <w:t xml:space="preserve"> de noodzaak om te groeien voor als een macro-economisch vereiste. Op grond </w:t>
      </w:r>
      <w:r w:rsidR="008756FE">
        <w:t>daarvan</w:t>
      </w:r>
      <w:r>
        <w:t xml:space="preserve"> verwacht zij </w:t>
      </w:r>
      <w:r w:rsidR="000E5102">
        <w:t>dat regeringen de luchtvaartgroei ste</w:t>
      </w:r>
      <w:r w:rsidR="000E5102">
        <w:t>u</w:t>
      </w:r>
      <w:r w:rsidR="000E5102">
        <w:t>nen. IATA (2010) zegt: “regeringen of luchthavens moeten in een adequate infrastructuur investeren om gelijke tred te houden met de vraag van luchtvaartmaatschappijen. (…) Er is een groot aantal redenen waarom luchthaven</w:t>
      </w:r>
      <w:r w:rsidR="007668AD">
        <w:t>s</w:t>
      </w:r>
      <w:r w:rsidR="000E5102">
        <w:t xml:space="preserve"> niet aan de vraag kunnen voldoen, maar gebrek aan politieke wil is waarschijnlijk de hoofdoorzaak.” Kan de luchtvaartindustrie </w:t>
      </w:r>
      <w:r w:rsidR="000E4049">
        <w:t xml:space="preserve">voortzetting van </w:t>
      </w:r>
      <w:r w:rsidR="007668AD">
        <w:t>overheids</w:t>
      </w:r>
      <w:r w:rsidR="000E4049">
        <w:t xml:space="preserve">steun verwachten </w:t>
      </w:r>
      <w:r w:rsidR="008756FE">
        <w:t>met het oog op</w:t>
      </w:r>
      <w:r w:rsidR="000E4049">
        <w:t xml:space="preserve"> de toenemende opwarmingseffecten? Stel dat de politieke wil </w:t>
      </w:r>
      <w:r w:rsidR="007668AD">
        <w:t xml:space="preserve">voor bescherming van het klimaat </w:t>
      </w:r>
      <w:r w:rsidR="000E4049">
        <w:t xml:space="preserve">sterk genoeg is, </w:t>
      </w:r>
      <w:r w:rsidR="007668AD">
        <w:t>zijn</w:t>
      </w:r>
      <w:r w:rsidR="000E4049">
        <w:t xml:space="preserve"> regeringen dan </w:t>
      </w:r>
      <w:r w:rsidR="007668AD">
        <w:t xml:space="preserve">wel in staat </w:t>
      </w:r>
      <w:r w:rsidR="000E4049">
        <w:t xml:space="preserve">de toename van de opwarming </w:t>
      </w:r>
      <w:r w:rsidR="007668AD">
        <w:t xml:space="preserve">te </w:t>
      </w:r>
      <w:r w:rsidR="008756FE">
        <w:t>stuiten</w:t>
      </w:r>
      <w:r w:rsidR="00C3245C">
        <w:t xml:space="preserve"> door de </w:t>
      </w:r>
      <w:r w:rsidR="000E4049">
        <w:t>luch</w:t>
      </w:r>
      <w:r w:rsidR="000E4049">
        <w:t>t</w:t>
      </w:r>
      <w:r w:rsidR="000E4049">
        <w:t>vaart</w:t>
      </w:r>
      <w:r w:rsidR="00C3245C">
        <w:t>groei te beperken,</w:t>
      </w:r>
      <w:r w:rsidR="000E4049">
        <w:t xml:space="preserve"> zonder de economie en de kwaliteit van de samenleving schad</w:t>
      </w:r>
      <w:r w:rsidR="00BC4412">
        <w:t>e</w:t>
      </w:r>
      <w:r w:rsidR="000E4049">
        <w:t xml:space="preserve"> toe te brengen?</w:t>
      </w:r>
    </w:p>
    <w:p w:rsidR="000E4049" w:rsidRPr="00583AF8" w:rsidRDefault="000E4049" w:rsidP="00641C41">
      <w:r>
        <w:t xml:space="preserve">Zeker </w:t>
      </w:r>
      <w:r w:rsidR="007668AD">
        <w:t>zijn ze</w:t>
      </w:r>
      <w:r w:rsidR="00C3245C">
        <w:t xml:space="preserve"> dat</w:t>
      </w:r>
      <w:r>
        <w:t xml:space="preserve">. </w:t>
      </w:r>
      <w:r w:rsidR="00A32C17">
        <w:t>Ze kunnen</w:t>
      </w:r>
      <w:r>
        <w:t xml:space="preserve"> </w:t>
      </w:r>
      <w:r w:rsidR="008756FE">
        <w:t>bijvoorbeeld</w:t>
      </w:r>
      <w:r w:rsidR="00C3245C">
        <w:t xml:space="preserve"> </w:t>
      </w:r>
      <w:r w:rsidR="00A32C17">
        <w:t xml:space="preserve">de uitbreiding van </w:t>
      </w:r>
      <w:r w:rsidR="00C3245C">
        <w:t xml:space="preserve">startbanen </w:t>
      </w:r>
      <w:r w:rsidR="008756FE">
        <w:t xml:space="preserve">en de toename van het aantal vluchten op luchthavens </w:t>
      </w:r>
      <w:r w:rsidR="00C3245C">
        <w:t xml:space="preserve">een halt toeroepen. Om de economie en de samenleving te </w:t>
      </w:r>
      <w:r w:rsidR="009A1720">
        <w:t>beschermen</w:t>
      </w:r>
      <w:r w:rsidR="00C3245C">
        <w:t>, ku</w:t>
      </w:r>
      <w:r w:rsidR="00C3245C">
        <w:t>n</w:t>
      </w:r>
      <w:r w:rsidR="00C3245C">
        <w:t xml:space="preserve">nen ze tegelijk internationale vervoersmodaliteiten ontwikkelen die duurzamer zijn dan luchtvaart. </w:t>
      </w:r>
      <w:r w:rsidR="009A1720">
        <w:t>Zoals de</w:t>
      </w:r>
      <w:r w:rsidR="00C3245C">
        <w:t xml:space="preserve"> hogesnelheidstrein.  </w:t>
      </w:r>
    </w:p>
    <w:p w:rsidR="00583AF8" w:rsidRPr="00583AF8" w:rsidRDefault="00583AF8" w:rsidP="00583AF8">
      <w:pPr>
        <w:tabs>
          <w:tab w:val="left" w:pos="1440"/>
        </w:tabs>
      </w:pPr>
      <w:r>
        <w:tab/>
      </w:r>
    </w:p>
    <w:p w:rsidR="0059421B" w:rsidRDefault="0059421B">
      <w:pPr>
        <w:spacing w:after="200" w:line="276" w:lineRule="auto"/>
        <w:jc w:val="left"/>
        <w:rPr>
          <w:rFonts w:ascii="Verdana" w:eastAsiaTheme="majorEastAsia" w:hAnsi="Verdana" w:cstheme="majorBidi"/>
          <w:color w:val="1F497D" w:themeColor="text2"/>
          <w:sz w:val="26"/>
          <w:szCs w:val="26"/>
        </w:rPr>
      </w:pPr>
      <w:bookmarkStart w:id="8" w:name="_Toc348854970"/>
      <w:r>
        <w:rPr>
          <w:bCs/>
        </w:rPr>
        <w:br w:type="page"/>
      </w:r>
    </w:p>
    <w:p w:rsidR="00641C41" w:rsidRPr="00FB03B7" w:rsidRDefault="00687910" w:rsidP="00687910">
      <w:pPr>
        <w:pStyle w:val="Kop2"/>
      </w:pPr>
      <w:bookmarkStart w:id="9" w:name="_Toc349748370"/>
      <w:r w:rsidRPr="00FB03B7">
        <w:rPr>
          <w:bCs w:val="0"/>
        </w:rPr>
        <w:lastRenderedPageBreak/>
        <w:t>3.</w:t>
      </w:r>
      <w:r w:rsidRPr="00FB03B7">
        <w:t xml:space="preserve"> </w:t>
      </w:r>
      <w:bookmarkEnd w:id="8"/>
      <w:r w:rsidR="00FB03B7" w:rsidRPr="00FB03B7">
        <w:t>Duurzam</w:t>
      </w:r>
      <w:r w:rsidR="00FB03B7">
        <w:t>e</w:t>
      </w:r>
      <w:r w:rsidR="00FB03B7" w:rsidRPr="00FB03B7">
        <w:t xml:space="preserve"> g</w:t>
      </w:r>
      <w:r w:rsidR="00FB03B7">
        <w:t>roei met hogesnelheidstreinen</w:t>
      </w:r>
      <w:bookmarkEnd w:id="9"/>
    </w:p>
    <w:p w:rsidR="0059104D" w:rsidRDefault="007453DE" w:rsidP="00AA0E96">
      <w:pPr>
        <w:spacing w:after="0"/>
      </w:pPr>
      <w:r>
        <w:rPr>
          <w:noProof/>
          <w:lang w:eastAsia="nl-NL"/>
        </w:rPr>
        <w:pict>
          <v:group id="_x0000_s214418" style="position:absolute;left:0;text-align:left;margin-left:212.75pt;margin-top:109.35pt;width:26pt;height:137.25pt;z-index:252545024" coordorigin="6382,4324" coordsize="520,2745">
            <v:shape id="_x0000_s214419" type="#_x0000_t202" style="position:absolute;left:6382;top:4324;width:520;height:412" filled="f" stroked="f">
              <v:textbox style="mso-next-textbox:#_x0000_s214419">
                <w:txbxContent>
                  <w:p w:rsidR="00396735" w:rsidRPr="00354D68" w:rsidRDefault="00396735" w:rsidP="00BE6AA8">
                    <w:pPr>
                      <w:rPr>
                        <w:sz w:val="20"/>
                        <w:szCs w:val="20"/>
                      </w:rPr>
                    </w:pPr>
                    <w:r w:rsidRPr="00354D68">
                      <w:rPr>
                        <w:sz w:val="20"/>
                        <w:szCs w:val="20"/>
                      </w:rPr>
                      <w:t>6</w:t>
                    </w:r>
                  </w:p>
                  <w:p w:rsidR="00396735" w:rsidRDefault="00396735" w:rsidP="00BE6AA8"/>
                </w:txbxContent>
              </v:textbox>
            </v:shape>
            <v:shape id="_x0000_s214420" type="#_x0000_t202" style="position:absolute;left:6382;top:4777;width:520;height:412" filled="f" stroked="f">
              <v:textbox style="mso-next-textbox:#_x0000_s214420">
                <w:txbxContent>
                  <w:p w:rsidR="00396735" w:rsidRPr="00354D68" w:rsidRDefault="00396735" w:rsidP="00BE6AA8">
                    <w:pPr>
                      <w:rPr>
                        <w:sz w:val="20"/>
                        <w:szCs w:val="20"/>
                      </w:rPr>
                    </w:pPr>
                    <w:r>
                      <w:rPr>
                        <w:sz w:val="20"/>
                        <w:szCs w:val="20"/>
                      </w:rPr>
                      <w:t>5</w:t>
                    </w:r>
                  </w:p>
                  <w:p w:rsidR="00396735" w:rsidRDefault="00396735" w:rsidP="00BE6AA8"/>
                </w:txbxContent>
              </v:textbox>
            </v:shape>
            <v:shape id="_x0000_s214421" type="#_x0000_t202" style="position:absolute;left:6382;top:5257;width:520;height:412" filled="f" stroked="f">
              <v:textbox style="mso-next-textbox:#_x0000_s214421">
                <w:txbxContent>
                  <w:p w:rsidR="00396735" w:rsidRPr="00354D68" w:rsidRDefault="00396735" w:rsidP="00BE6AA8">
                    <w:pPr>
                      <w:rPr>
                        <w:sz w:val="20"/>
                        <w:szCs w:val="20"/>
                      </w:rPr>
                    </w:pPr>
                    <w:r>
                      <w:rPr>
                        <w:sz w:val="20"/>
                        <w:szCs w:val="20"/>
                      </w:rPr>
                      <w:t>4</w:t>
                    </w:r>
                  </w:p>
                  <w:p w:rsidR="00396735" w:rsidRDefault="00396735" w:rsidP="00BE6AA8"/>
                </w:txbxContent>
              </v:textbox>
            </v:shape>
            <v:shape id="_x0000_s214422" type="#_x0000_t202" style="position:absolute;left:6382;top:5724;width:520;height:412" filled="f" stroked="f">
              <v:textbox style="mso-next-textbox:#_x0000_s214422">
                <w:txbxContent>
                  <w:p w:rsidR="00396735" w:rsidRPr="00354D68" w:rsidRDefault="00396735" w:rsidP="00BE6AA8">
                    <w:pPr>
                      <w:rPr>
                        <w:sz w:val="20"/>
                        <w:szCs w:val="20"/>
                      </w:rPr>
                    </w:pPr>
                    <w:r>
                      <w:rPr>
                        <w:sz w:val="20"/>
                        <w:szCs w:val="20"/>
                      </w:rPr>
                      <w:t>3</w:t>
                    </w:r>
                  </w:p>
                  <w:p w:rsidR="00396735" w:rsidRDefault="00396735" w:rsidP="00BE6AA8"/>
                </w:txbxContent>
              </v:textbox>
            </v:shape>
            <v:shape id="_x0000_s214423" type="#_x0000_t202" style="position:absolute;left:6382;top:6191;width:520;height:411" filled="f" stroked="f">
              <v:textbox style="mso-next-textbox:#_x0000_s214423">
                <w:txbxContent>
                  <w:p w:rsidR="00396735" w:rsidRPr="00354D68" w:rsidRDefault="00396735" w:rsidP="00BE6AA8">
                    <w:pPr>
                      <w:rPr>
                        <w:sz w:val="20"/>
                        <w:szCs w:val="20"/>
                      </w:rPr>
                    </w:pPr>
                    <w:r>
                      <w:rPr>
                        <w:sz w:val="20"/>
                        <w:szCs w:val="20"/>
                      </w:rPr>
                      <w:t>2</w:t>
                    </w:r>
                  </w:p>
                  <w:p w:rsidR="00396735" w:rsidRDefault="00396735" w:rsidP="00BE6AA8"/>
                </w:txbxContent>
              </v:textbox>
            </v:shape>
            <v:shape id="_x0000_s214424" type="#_x0000_t202" style="position:absolute;left:6382;top:6657;width:520;height:412" filled="f" stroked="f">
              <v:textbox style="mso-next-textbox:#_x0000_s214424">
                <w:txbxContent>
                  <w:p w:rsidR="00396735" w:rsidRPr="00354D68" w:rsidRDefault="00396735" w:rsidP="00BE6AA8">
                    <w:pPr>
                      <w:rPr>
                        <w:sz w:val="20"/>
                        <w:szCs w:val="20"/>
                      </w:rPr>
                    </w:pPr>
                    <w:r>
                      <w:rPr>
                        <w:sz w:val="20"/>
                        <w:szCs w:val="20"/>
                      </w:rPr>
                      <w:t>1</w:t>
                    </w:r>
                  </w:p>
                  <w:p w:rsidR="00396735" w:rsidRDefault="00396735" w:rsidP="00BE6AA8"/>
                </w:txbxContent>
              </v:textbox>
            </v:shape>
          </v:group>
        </w:pict>
      </w:r>
      <w:r>
        <w:rPr>
          <w:noProof/>
          <w:lang w:eastAsia="nl-NL"/>
        </w:rPr>
        <w:pict>
          <v:group id="_x0000_s214373" style="position:absolute;left:0;text-align:left;margin-left:204.4pt;margin-top:98.4pt;width:230.65pt;height:217.15pt;z-index:252544000" coordorigin="6252,4152" coordsize="4613,4343">
            <v:group id="_x0000_s214374" style="position:absolute;left:6252;top:4152;width:4613;height:4343" coordorigin="6252,4092" coordsize="4613,4343">
              <v:group id="_x0000_s214375" style="position:absolute;left:6758;top:4503;width:3799;height:2825" coordorigin="3435,6765" coordsize="3402,3402">
                <v:rect id="_x0000_s214376" style="position:absolute;left:3435;top:6765;width:3402;height:3402" fillcolor="#e7f6ff" stroked="f"/>
                <v:rect id="_x0000_s214377" style="position:absolute;left:5691;top:6765;width:567;height:3402" fillcolor="#ccecff" stroked="f"/>
                <v:rect id="_x0000_s214378" style="position:absolute;left:4557;top:6765;width:567;height:3402" fillcolor="#ccecff" stroked="f"/>
                <v:rect id="_x0000_s214379" style="position:absolute;left:3435;top:6765;width:567;height:3402" fillcolor="#ccecff" stroked="f"/>
                <v:group id="_x0000_s214380" style="position:absolute;left:3435;top:7331;width:3402;height:2268" coordorigin="3435,7331" coordsize="3402,2268">
                  <v:shapetype id="_x0000_t32" coordsize="21600,21600" o:spt="32" o:oned="t" path="m,l21600,21600e" filled="f">
                    <v:path arrowok="t" fillok="f" o:connecttype="none"/>
                    <o:lock v:ext="edit" shapetype="t"/>
                  </v:shapetype>
                  <v:shape id="_x0000_s214381" type="#_x0000_t32" style="position:absolute;left:3435;top:7331;width:3402;height:0" o:connectortype="straight" strokecolor="#00b0f0" strokeweight="1pt">
                    <v:stroke dashstyle="dash"/>
                  </v:shape>
                  <v:shape id="_x0000_s214382" type="#_x0000_t32" style="position:absolute;left:3435;top:7898;width:3402;height:0" o:connectortype="straight" strokecolor="#00b0f0" strokeweight="1pt">
                    <v:stroke dashstyle="dash"/>
                  </v:shape>
                  <v:shape id="_x0000_s214383" type="#_x0000_t32" style="position:absolute;left:3435;top:8465;width:3402;height:0" o:connectortype="straight" strokecolor="#00b0f0" strokeweight="1pt">
                    <v:stroke dashstyle="dash"/>
                  </v:shape>
                  <v:shape id="_x0000_s214384" type="#_x0000_t32" style="position:absolute;left:3435;top:9032;width:3402;height:0" o:connectortype="straight" strokecolor="#00b0f0" strokeweight="1pt">
                    <v:stroke dashstyle="dash"/>
                  </v:shape>
                  <v:shape id="_x0000_s214385" type="#_x0000_t32" style="position:absolute;left:3435;top:9599;width:3402;height:0" o:connectortype="straight" strokecolor="#00b0f0" strokeweight="1pt">
                    <v:stroke dashstyle="dash"/>
                  </v:shape>
                </v:group>
              </v:group>
              <v:shape id="_x0000_s214386" type="#_x0000_t202" style="position:absolute;left:6632;top:7255;width:4233;height:1180;mso-width-relative:margin;mso-height-relative:margin" filled="f" stroked="f">
                <v:textbox style="mso-next-textbox:#_x0000_s214386">
                  <w:txbxContent>
                    <w:p w:rsidR="00396735" w:rsidRPr="004669E4" w:rsidRDefault="00396735" w:rsidP="0059104D">
                      <w:pPr>
                        <w:spacing w:after="0" w:line="240" w:lineRule="auto"/>
                        <w:rPr>
                          <w:sz w:val="20"/>
                          <w:szCs w:val="20"/>
                        </w:rPr>
                      </w:pPr>
                      <w:r w:rsidRPr="004669E4">
                        <w:rPr>
                          <w:sz w:val="20"/>
                          <w:szCs w:val="20"/>
                        </w:rPr>
                        <w:t>0        200        400       600       800     1000    1200</w:t>
                      </w:r>
                    </w:p>
                    <w:p w:rsidR="00396735" w:rsidRPr="000D545D" w:rsidRDefault="00396735" w:rsidP="0059104D">
                      <w:pPr>
                        <w:spacing w:after="0" w:line="240" w:lineRule="auto"/>
                        <w:rPr>
                          <w:sz w:val="18"/>
                          <w:szCs w:val="18"/>
                        </w:rPr>
                      </w:pPr>
                      <w:r w:rsidRPr="000D545D">
                        <w:rPr>
                          <w:sz w:val="18"/>
                          <w:szCs w:val="18"/>
                        </w:rPr>
                        <w:t xml:space="preserve">                        km reisafstand</w:t>
                      </w:r>
                    </w:p>
                    <w:p w:rsidR="00396735" w:rsidRPr="000D545D" w:rsidRDefault="00396735" w:rsidP="0059104D">
                      <w:pPr>
                        <w:jc w:val="left"/>
                        <w:rPr>
                          <w:sz w:val="18"/>
                          <w:szCs w:val="18"/>
                        </w:rPr>
                      </w:pPr>
                      <w:r w:rsidRPr="000D545D">
                        <w:rPr>
                          <w:sz w:val="18"/>
                          <w:szCs w:val="18"/>
                        </w:rPr>
                        <w:t>Figuur 1. Reistijd van hogesnelheidstreinen versus vliegtuigen   (Faber et al., CE Delft, 2009)</w:t>
                      </w:r>
                    </w:p>
                  </w:txbxContent>
                </v:textbox>
              </v:shape>
              <v:shape id="_x0000_s214387" type="#_x0000_t202" style="position:absolute;left:6252;top:4092;width:1833;height:438;mso-width-relative:margin;mso-height-relative:margin" filled="f" stroked="f">
                <v:textbox style="mso-next-textbox:#_x0000_s214387">
                  <w:txbxContent>
                    <w:p w:rsidR="00396735" w:rsidRPr="000D545D" w:rsidRDefault="00396735" w:rsidP="0059104D">
                      <w:pPr>
                        <w:rPr>
                          <w:sz w:val="18"/>
                          <w:szCs w:val="18"/>
                        </w:rPr>
                      </w:pPr>
                      <w:r>
                        <w:rPr>
                          <w:sz w:val="18"/>
                          <w:szCs w:val="18"/>
                        </w:rPr>
                        <w:t xml:space="preserve">        </w:t>
                      </w:r>
                      <w:r w:rsidRPr="000D545D">
                        <w:rPr>
                          <w:sz w:val="18"/>
                          <w:szCs w:val="18"/>
                        </w:rPr>
                        <w:t>Uren reistijd</w:t>
                      </w:r>
                    </w:p>
                  </w:txbxContent>
                </v:textbox>
              </v:shape>
            </v:group>
            <v:group id="_x0000_s214388" style="position:absolute;left:6989;top:4796;width:3482;height:2038" coordorigin="6989,4736" coordsize="3482,2038">
              <v:shape id="_x0000_s214389" type="#_x0000_t202" style="position:absolute;left:8143;top:5986;width:1932;height:438;mso-width-relative:margin;mso-height-relative:margin" filled="f" stroked="f">
                <v:textbox style="mso-next-textbox:#_x0000_s214389">
                  <w:txbxContent>
                    <w:p w:rsidR="00396735" w:rsidRDefault="00396735" w:rsidP="0059104D">
                      <w:pPr>
                        <w:jc w:val="left"/>
                      </w:pPr>
                      <w:r w:rsidRPr="000D545D">
                        <w:rPr>
                          <w:sz w:val="18"/>
                          <w:szCs w:val="18"/>
                        </w:rPr>
                        <w:t>hogesnelheidstrein</w:t>
                      </w:r>
                      <w:r>
                        <w:t xml:space="preserve"> travel time</w:t>
                      </w:r>
                    </w:p>
                  </w:txbxContent>
                </v:textbox>
              </v:shape>
              <v:shape id="_x0000_s214390" type="#_x0000_t202" style="position:absolute;left:7092;top:5382;width:993;height:438;mso-width-relative:margin;mso-height-relative:margin" filled="f" stroked="f">
                <v:textbox style="mso-next-textbox:#_x0000_s214390">
                  <w:txbxContent>
                    <w:p w:rsidR="00396735" w:rsidRPr="000D545D" w:rsidRDefault="00396735" w:rsidP="0059104D">
                      <w:pPr>
                        <w:rPr>
                          <w:sz w:val="18"/>
                          <w:szCs w:val="18"/>
                        </w:rPr>
                      </w:pPr>
                      <w:r w:rsidRPr="000D545D">
                        <w:rPr>
                          <w:sz w:val="18"/>
                          <w:szCs w:val="18"/>
                        </w:rPr>
                        <w:t>vliegtuig</w:t>
                      </w:r>
                    </w:p>
                  </w:txbxContent>
                </v:textbox>
              </v:shape>
              <v:shape id="_x0000_s214391" type="#_x0000_t32" style="position:absolute;left:6989;top:4736;width:3482;height:2038;flip:y" o:connectortype="straight" strokecolor="#6be739" strokeweight="1.5pt"/>
              <v:shape id="_x0000_s214392" type="#_x0000_t32" style="position:absolute;left:6989;top:5203;width:3482;height:657;flip:y" o:connectortype="straight" strokecolor="#0070c0"/>
            </v:group>
            <w10:wrap type="square"/>
          </v:group>
        </w:pict>
      </w:r>
      <w:r w:rsidR="00A32C17">
        <w:t>Luchtvaart</w:t>
      </w:r>
      <w:r w:rsidR="00733AF7">
        <w:t xml:space="preserve"> </w:t>
      </w:r>
      <w:r w:rsidR="00A32C17">
        <w:t xml:space="preserve">is niet het enige middel voor </w:t>
      </w:r>
      <w:r w:rsidR="00733AF7">
        <w:t xml:space="preserve">internationaal vervoer. Reizen naar nabijgelegen bestemmingen tot circa 800 km binnen Europa kunnen plaatsvinden met hogesnelheidstreinen </w:t>
      </w:r>
      <w:r w:rsidR="002C429A">
        <w:t xml:space="preserve">(en </w:t>
      </w:r>
      <w:r w:rsidR="008200EB">
        <w:t xml:space="preserve">tot </w:t>
      </w:r>
      <w:r w:rsidR="002C429A">
        <w:t>1200 km met supersnelle treinen) met een  gelijke of lagere reistijd (</w:t>
      </w:r>
      <w:r w:rsidR="003A6F01">
        <w:t>f</w:t>
      </w:r>
      <w:r w:rsidR="002C429A">
        <w:t xml:space="preserve">iguur 1 en Faber et al., </w:t>
      </w:r>
      <w:r w:rsidR="003A6F01">
        <w:t xml:space="preserve">CE Delft </w:t>
      </w:r>
      <w:r w:rsidR="002C429A">
        <w:t xml:space="preserve">2009). </w:t>
      </w:r>
      <w:r w:rsidR="00EC1676">
        <w:t>Het hi</w:t>
      </w:r>
      <w:r w:rsidR="008200EB">
        <w:softHyphen/>
      </w:r>
      <w:r w:rsidR="00EC1676">
        <w:t>speed-netwerk van de EU heeft een enorme capaciteit, zodat het miljoenen overstappende passagiers  kan accommoderen van de aan</w:t>
      </w:r>
      <w:r w:rsidR="008200EB">
        <w:t xml:space="preserve">liggende </w:t>
      </w:r>
      <w:r w:rsidR="00EC1676">
        <w:t xml:space="preserve">luchthavens (figuur 2). Hogesnelheidstreinen worden dan veel intensiever gebruikt, waardoor de exploitatie verbetert en de momenteel nog wat hoge tarieven kunnen worden verlaagd.  </w:t>
      </w:r>
      <w:r w:rsidR="00535E19">
        <w:t>Een groot voordeel is dat hogesnelheidstreinen nu al 17 keer minder opwarming veroorzaken dan vliegtuigen per passagier km (tabel 1).   Ze zullen</w:t>
      </w:r>
      <w:r w:rsidR="002C429A">
        <w:t>, in tegenstelling tot vliegtu</w:t>
      </w:r>
      <w:r w:rsidR="002C429A">
        <w:t>i</w:t>
      </w:r>
      <w:r w:rsidR="003A6F01">
        <w:t>g</w:t>
      </w:r>
      <w:r w:rsidR="002C429A">
        <w:t>en</w:t>
      </w:r>
      <w:r w:rsidR="00535E19">
        <w:t>,</w:t>
      </w:r>
      <w:r w:rsidR="002C429A">
        <w:t xml:space="preserve"> bijna klimaatneutraal worden binnen enige decennia, wanneer ze door </w:t>
      </w:r>
      <w:r w:rsidR="003A6F01">
        <w:t xml:space="preserve">volledig </w:t>
      </w:r>
      <w:r w:rsidR="002C429A">
        <w:t xml:space="preserve">hernieuwbare elektriciteit worden aangedreven. </w:t>
      </w:r>
      <w:r w:rsidR="00395A3B" w:rsidRPr="00395A3B">
        <w:t>Vliegen binnen West-Europa moet dringend ter discussie worden gesteld</w:t>
      </w:r>
      <w:r w:rsidR="00D96E2F">
        <w:t>.</w:t>
      </w:r>
      <w:r w:rsidR="00395A3B">
        <w:t xml:space="preserve"> </w:t>
      </w:r>
      <w:r w:rsidR="002C429A">
        <w:t>Bovendien zal het pan-Europese ve</w:t>
      </w:r>
      <w:r w:rsidR="002C429A">
        <w:t>r</w:t>
      </w:r>
      <w:r w:rsidR="002C429A">
        <w:t>voerssysteem  niet onderhevig zijn aan de prijse</w:t>
      </w:r>
      <w:r w:rsidR="002C429A">
        <w:t>f</w:t>
      </w:r>
      <w:r w:rsidR="002C429A">
        <w:t>fecten van steeds schaa</w:t>
      </w:r>
      <w:r w:rsidR="002C429A">
        <w:t>r</w:t>
      </w:r>
      <w:r w:rsidR="002C429A">
        <w:t xml:space="preserve">ser wordende olie. </w:t>
      </w:r>
    </w:p>
    <w:tbl>
      <w:tblPr>
        <w:tblStyle w:val="Tabelraster"/>
        <w:tblpPr w:leftFromText="141" w:rightFromText="141" w:vertAnchor="text" w:horzAnchor="margin" w:tblpY="153"/>
        <w:tblW w:w="0" w:type="auto"/>
        <w:tblBorders>
          <w:top w:val="single" w:sz="12" w:space="0" w:color="auto"/>
          <w:left w:val="none" w:sz="0" w:space="0" w:color="auto"/>
          <w:bottom w:val="single" w:sz="12" w:space="0" w:color="auto"/>
          <w:right w:val="none" w:sz="0" w:space="0" w:color="auto"/>
        </w:tblBorders>
        <w:tblLook w:val="04A0"/>
      </w:tblPr>
      <w:tblGrid>
        <w:gridCol w:w="3085"/>
        <w:gridCol w:w="425"/>
        <w:gridCol w:w="709"/>
      </w:tblGrid>
      <w:tr w:rsidR="00F3123D" w:rsidRPr="00BC4412" w:rsidTr="00F3123D">
        <w:tc>
          <w:tcPr>
            <w:tcW w:w="4219" w:type="dxa"/>
            <w:gridSpan w:val="3"/>
            <w:tcBorders>
              <w:top w:val="nil"/>
              <w:left w:val="nil"/>
              <w:bottom w:val="single" w:sz="12" w:space="0" w:color="auto"/>
              <w:right w:val="nil"/>
            </w:tcBorders>
            <w:hideMark/>
          </w:tcPr>
          <w:p w:rsidR="00F3123D" w:rsidRPr="00BC4412" w:rsidRDefault="00F3123D" w:rsidP="00F3123D">
            <w:pPr>
              <w:spacing w:before="240"/>
              <w:jc w:val="left"/>
              <w:rPr>
                <w:sz w:val="18"/>
                <w:szCs w:val="18"/>
              </w:rPr>
            </w:pPr>
            <w:r w:rsidRPr="00BC4412">
              <w:rPr>
                <w:sz w:val="18"/>
                <w:szCs w:val="18"/>
              </w:rPr>
              <w:t xml:space="preserve">Tabel 1  Energiegebruik vervoer  (Mc </w:t>
            </w:r>
            <w:proofErr w:type="spellStart"/>
            <w:r w:rsidRPr="00BC4412">
              <w:rPr>
                <w:sz w:val="18"/>
                <w:szCs w:val="18"/>
              </w:rPr>
              <w:t>Kay</w:t>
            </w:r>
            <w:proofErr w:type="spellEnd"/>
            <w:r w:rsidRPr="00BC4412">
              <w:rPr>
                <w:sz w:val="18"/>
                <w:szCs w:val="18"/>
              </w:rPr>
              <w:t xml:space="preserve"> 2009)</w:t>
            </w:r>
          </w:p>
        </w:tc>
      </w:tr>
      <w:tr w:rsidR="00F3123D" w:rsidTr="00F3123D">
        <w:trPr>
          <w:trHeight w:val="673"/>
        </w:trPr>
        <w:tc>
          <w:tcPr>
            <w:tcW w:w="3085" w:type="dxa"/>
            <w:tcBorders>
              <w:top w:val="single" w:sz="12" w:space="0" w:color="auto"/>
              <w:left w:val="nil"/>
              <w:bottom w:val="single" w:sz="4" w:space="0" w:color="auto"/>
              <w:right w:val="nil"/>
            </w:tcBorders>
          </w:tcPr>
          <w:p w:rsidR="00F3123D" w:rsidRPr="00BC4412" w:rsidRDefault="00F3123D" w:rsidP="00F3123D">
            <w:pPr>
              <w:jc w:val="center"/>
              <w:rPr>
                <w:sz w:val="18"/>
                <w:szCs w:val="18"/>
              </w:rPr>
            </w:pPr>
          </w:p>
          <w:p w:rsidR="00F3123D" w:rsidRDefault="00F3123D" w:rsidP="00F3123D">
            <w:pPr>
              <w:spacing w:line="276" w:lineRule="auto"/>
              <w:jc w:val="left"/>
              <w:rPr>
                <w:sz w:val="18"/>
                <w:szCs w:val="18"/>
                <w:lang w:val="en-US"/>
              </w:rPr>
            </w:pPr>
            <w:proofErr w:type="spellStart"/>
            <w:r>
              <w:rPr>
                <w:sz w:val="18"/>
                <w:szCs w:val="18"/>
                <w:lang w:val="en-US"/>
              </w:rPr>
              <w:t>Vervoermiddel</w:t>
            </w:r>
            <w:proofErr w:type="spellEnd"/>
          </w:p>
        </w:tc>
        <w:tc>
          <w:tcPr>
            <w:tcW w:w="1134" w:type="dxa"/>
            <w:gridSpan w:val="2"/>
            <w:tcBorders>
              <w:top w:val="single" w:sz="12" w:space="0" w:color="auto"/>
              <w:left w:val="nil"/>
              <w:bottom w:val="single" w:sz="4" w:space="0" w:color="auto"/>
              <w:right w:val="nil"/>
            </w:tcBorders>
            <w:hideMark/>
          </w:tcPr>
          <w:p w:rsidR="00F3123D" w:rsidRDefault="00F3123D" w:rsidP="00F3123D">
            <w:pPr>
              <w:spacing w:line="276" w:lineRule="auto"/>
              <w:jc w:val="right"/>
              <w:rPr>
                <w:sz w:val="18"/>
                <w:szCs w:val="18"/>
                <w:lang w:val="en-US"/>
              </w:rPr>
            </w:pPr>
            <w:proofErr w:type="spellStart"/>
            <w:r>
              <w:rPr>
                <w:sz w:val="18"/>
                <w:szCs w:val="18"/>
                <w:lang w:val="en-US"/>
              </w:rPr>
              <w:t>Energie</w:t>
            </w:r>
            <w:proofErr w:type="spellEnd"/>
            <w:r>
              <w:rPr>
                <w:sz w:val="18"/>
                <w:szCs w:val="18"/>
                <w:lang w:val="en-US"/>
              </w:rPr>
              <w:t xml:space="preserve"> kWh/ 100pkm</w:t>
            </w:r>
          </w:p>
        </w:tc>
      </w:tr>
      <w:tr w:rsidR="00F3123D" w:rsidTr="00F3123D">
        <w:trPr>
          <w:trHeight w:val="903"/>
        </w:trPr>
        <w:tc>
          <w:tcPr>
            <w:tcW w:w="3510" w:type="dxa"/>
            <w:gridSpan w:val="2"/>
            <w:tcBorders>
              <w:top w:val="single" w:sz="4" w:space="0" w:color="auto"/>
              <w:left w:val="nil"/>
              <w:bottom w:val="single" w:sz="8" w:space="0" w:color="auto"/>
              <w:right w:val="nil"/>
            </w:tcBorders>
            <w:hideMark/>
          </w:tcPr>
          <w:p w:rsidR="00F3123D" w:rsidRPr="004E5012" w:rsidRDefault="00F3123D" w:rsidP="00F3123D">
            <w:pPr>
              <w:spacing w:before="240" w:after="0"/>
              <w:jc w:val="left"/>
              <w:rPr>
                <w:sz w:val="18"/>
                <w:szCs w:val="18"/>
              </w:rPr>
            </w:pPr>
            <w:r w:rsidRPr="004E5012">
              <w:rPr>
                <w:sz w:val="18"/>
                <w:szCs w:val="18"/>
              </w:rPr>
              <w:t>Auto’s (1 passagier)</w:t>
            </w:r>
          </w:p>
          <w:p w:rsidR="00F3123D" w:rsidRPr="004E5012" w:rsidRDefault="00F3123D" w:rsidP="00F3123D">
            <w:pPr>
              <w:spacing w:after="0"/>
              <w:jc w:val="left"/>
              <w:rPr>
                <w:sz w:val="18"/>
                <w:szCs w:val="18"/>
              </w:rPr>
            </w:pPr>
            <w:r w:rsidRPr="004E5012">
              <w:rPr>
                <w:sz w:val="18"/>
                <w:szCs w:val="18"/>
              </w:rPr>
              <w:t>Auto’s (2 passagiers)</w:t>
            </w:r>
          </w:p>
          <w:p w:rsidR="00F3123D" w:rsidRPr="004E5012" w:rsidRDefault="007453DE" w:rsidP="00F3123D">
            <w:pPr>
              <w:spacing w:after="0"/>
              <w:jc w:val="left"/>
              <w:rPr>
                <w:sz w:val="18"/>
                <w:szCs w:val="18"/>
              </w:rPr>
            </w:pPr>
            <w:r>
              <w:rPr>
                <w:noProof/>
                <w:sz w:val="18"/>
                <w:szCs w:val="18"/>
                <w:lang w:eastAsia="nl-NL"/>
              </w:rPr>
              <w:pict>
                <v:group id="_x0000_s214434" style="position:absolute;margin-left:-8.1pt;margin-top:4.55pt;width:431.65pt;height:199.05pt;z-index:252603392" coordorigin="1965,8863" coordsize="8633,3981">
                  <v:group id="_x0000_s214426" style="position:absolute;left:6101;top:8863;width:3521;height:3311" coordorigin="6101,9138" coordsize="3521,3311" o:regroupid="24">
                    <v:oval id="_x0000_s214368" style="position:absolute;left:7375;top:10144;width:2217;height:2103" o:regroupid="25" filled="f" strokecolor="white [3212]">
                      <o:lock v:ext="edit" aspectratio="t"/>
                    </v:oval>
                    <v:group id="_x0000_s214425" style="position:absolute;left:6101;top:9138;width:3521;height:3311" coordorigin="6101,9138" coordsize="3521,3311" o:regroupid="25">
                      <v:group id="_x0000_s214351" style="position:absolute;left:6101;top:9138;width:3521;height:3311" coordorigin="5830,11476" coordsize="3521,3491" o:regroupid="26">
                        <v:group id="_x0000_s214352" style="position:absolute;left:6844;top:12611;width:1425;height:1302" coordorigin="6844,12611" coordsize="1425,1302">
                          <v:oval id="_x0000_s214353" style="position:absolute;left:7645;top:12611;width:72;height:72">
                            <o:lock v:ext="edit" aspectratio="t"/>
                          </v:oval>
                          <v:oval id="_x0000_s214354" style="position:absolute;left:7851;top:12908;width:72;height:72">
                            <o:lock v:ext="edit" aspectratio="t"/>
                          </v:oval>
                          <v:oval id="_x0000_s214355" style="position:absolute;left:6844;top:13841;width:71;height:72">
                            <o:lock v:ext="edit" aspectratio="t"/>
                          </v:oval>
                          <v:oval id="_x0000_s214356" style="position:absolute;left:8198;top:12980;width:71;height:72">
                            <o:lock v:ext="edit" aspectratio="t"/>
                          </v:oval>
                          <v:oval id="_x0000_s214357" style="position:absolute;left:7227;top:12611;width:72;height:72">
                            <o:lock v:ext="edit" aspectratio="t"/>
                          </v:oval>
                          <v:oval id="_x0000_s214358" style="position:absolute;left:7426;top:12958;width:71;height:71">
                            <o:lock v:ext="edit" aspectratio="t"/>
                          </v:oval>
                        </v:group>
                        <v:group id="_x0000_s214359" style="position:absolute;left:5830;top:11476;width:3521;height:3491" coordorigin="5830,11476" coordsize="3521,3491">
                          <v:oval id="_x0000_s214360" style="position:absolute;left:6414;top:11881;width:2218;height:2217" filled="f" strokecolor="white [3212]">
                            <o:lock v:ext="edit" aspectratio="t"/>
                          </v:oval>
                          <v:group id="_x0000_s214361" style="position:absolute;left:5830;top:11476;width:3521;height:3491" coordorigin="5830,8416" coordsize="3521,3491">
                            <v:oval id="_x0000_s214362" style="position:absolute;left:6572;top:8416;width:2217;height:2217" filled="f" strokecolor="white [3212]">
                              <o:lock v:ext="edit" aspectratio="t"/>
                            </v:oval>
                            <v:oval id="_x0000_s214363" style="position:absolute;left:6811;top:8768;width:2218;height:2217" filled="f" strokecolor="white [3212]">
                              <o:lock v:ext="edit" aspectratio="t"/>
                            </v:oval>
                            <v:oval id="_x0000_s214364" style="position:absolute;left:6175;top:8468;width:2217;height:2218" filled="f" strokecolor="white [3212]">
                              <o:lock v:ext="edit" aspectratio="t"/>
                            </v:oval>
                            <v:oval id="_x0000_s214365" style="position:absolute;left:5830;top:9690;width:2217;height:2217" filled="f" strokecolor="white [3212]">
                              <o:lock v:ext="edit" aspectratio="t"/>
                            </v:oval>
                            <v:oval id="_x0000_s214366" style="position:absolute;left:7134;top:8806;width:2217;height:2217" filled="f" strokecolor="white [3212]">
                              <o:lock v:ext="edit" aspectratio="t"/>
                            </v:oval>
                          </v:group>
                        </v:group>
                      </v:group>
                      <v:oval id="_x0000_s214367" style="position:absolute;left:8424;top:11172;width:71;height:69" o:regroupid="26">
                        <o:lock v:ext="edit" aspectratio="t"/>
                      </v:oval>
                    </v:group>
                  </v:group>
                  <v:shape id="_x0000_s214369" type="#_x0000_t202" style="position:absolute;left:6546;top:11962;width:4052;height:871;mso-height-percent:200;mso-height-percent:200;mso-width-relative:margin;mso-height-relative:margin" o:regroupid="24" fillcolor="white [3212]" stroked="f">
                    <v:textbox style="mso-next-textbox:#_x0000_s214369;mso-fit-shape-to-text:t">
                      <w:txbxContent>
                        <w:p w:rsidR="00396735" w:rsidRPr="00BC4412" w:rsidRDefault="00396735" w:rsidP="00C3165E">
                          <w:pPr>
                            <w:spacing w:after="200"/>
                            <w:jc w:val="left"/>
                            <w:rPr>
                              <w:sz w:val="18"/>
                              <w:szCs w:val="18"/>
                            </w:rPr>
                          </w:pPr>
                          <w:r w:rsidRPr="00BC4412">
                            <w:rPr>
                              <w:sz w:val="18"/>
                              <w:szCs w:val="18"/>
                            </w:rPr>
                            <w:t xml:space="preserve">Figuur 2  Bereik van hogesnelheidstreinen </w:t>
                          </w:r>
                          <w:r>
                            <w:rPr>
                              <w:sz w:val="18"/>
                              <w:szCs w:val="18"/>
                            </w:rPr>
                            <w:t xml:space="preserve">van </w:t>
                          </w:r>
                          <w:r w:rsidRPr="00BC4412">
                            <w:rPr>
                              <w:sz w:val="18"/>
                              <w:szCs w:val="18"/>
                            </w:rPr>
                            <w:t xml:space="preserve"> 1000 km </w:t>
                          </w:r>
                          <w:r>
                            <w:rPr>
                              <w:sz w:val="18"/>
                              <w:szCs w:val="18"/>
                            </w:rPr>
                            <w:t>rond de grote</w:t>
                          </w:r>
                          <w:r w:rsidRPr="00BC4412">
                            <w:rPr>
                              <w:sz w:val="18"/>
                              <w:szCs w:val="18"/>
                            </w:rPr>
                            <w:t xml:space="preserve"> EU hubs</w:t>
                          </w:r>
                        </w:p>
                      </w:txbxContent>
                    </v:textbox>
                  </v:shape>
                  <v:group id="_x0000_s214433" style="position:absolute;left:1965;top:9436;width:4330;height:3408" coordorigin="1965,9436" coordsize="4330,3408" o:regroupid="24">
                    <v:shape id="_x0000_s214371" type="#_x0000_t202" style="position:absolute;left:1965;top:9436;width:4330;height:3408;mso-height-percent:200;mso-height-percent:200;mso-width-relative:margin;mso-height-relative:margin" o:regroupid="25" stroked="f" strokecolor="black [3213]">
                      <v:textbox style="mso-next-textbox:#_x0000_s214371;mso-fit-shape-to-text:t">
                        <w:txbxContent>
                          <w:p w:rsidR="00396735" w:rsidRDefault="00396735" w:rsidP="008200EB">
                            <w:pPr>
                              <w:jc w:val="left"/>
                            </w:pPr>
                            <w:r w:rsidRPr="008576BF">
                              <w:rPr>
                                <w:color w:val="000000" w:themeColor="text1"/>
                                <w:sz w:val="18"/>
                                <w:szCs w:val="18"/>
                              </w:rPr>
                              <w:t>Hogesnelheidstreinen hebben 8,5 keer minder energie nodig per passagierkm dan  vlieg</w:t>
                            </w:r>
                            <w:r w:rsidRPr="008576BF">
                              <w:rPr>
                                <w:color w:val="000000" w:themeColor="text1"/>
                                <w:sz w:val="18"/>
                                <w:szCs w:val="18"/>
                              </w:rPr>
                              <w:softHyphen/>
                              <w:t>tuigen.  Als de CO</w:t>
                            </w:r>
                            <w:r w:rsidRPr="008576BF">
                              <w:rPr>
                                <w:color w:val="000000" w:themeColor="text1"/>
                                <w:sz w:val="18"/>
                                <w:szCs w:val="18"/>
                                <w:vertAlign w:val="subscript"/>
                              </w:rPr>
                              <w:t>2</w:t>
                            </w:r>
                            <w:r w:rsidRPr="008576BF">
                              <w:rPr>
                                <w:color w:val="000000" w:themeColor="text1"/>
                                <w:sz w:val="18"/>
                                <w:szCs w:val="18"/>
                              </w:rPr>
                              <w:t>-uit</w:t>
                            </w:r>
                            <w:r w:rsidRPr="008576BF">
                              <w:rPr>
                                <w:color w:val="000000" w:themeColor="text1"/>
                                <w:sz w:val="18"/>
                                <w:szCs w:val="18"/>
                              </w:rPr>
                              <w:softHyphen/>
                              <w:t xml:space="preserve">stoot per ton brandstof van beide ongeveer </w:t>
                            </w:r>
                            <w:r w:rsidRPr="008813AD">
                              <w:rPr>
                                <w:color w:val="000000" w:themeColor="text1"/>
                                <w:sz w:val="18"/>
                                <w:szCs w:val="18"/>
                              </w:rPr>
                              <w:t xml:space="preserve">gelijk is, zijn de </w:t>
                            </w:r>
                            <w:r w:rsidR="008200EB" w:rsidRPr="008200EB">
                              <w:rPr>
                                <w:color w:val="000000" w:themeColor="text1"/>
                                <w:sz w:val="18"/>
                                <w:szCs w:val="18"/>
                              </w:rPr>
                              <w:t>CO</w:t>
                            </w:r>
                            <w:r w:rsidR="008200EB" w:rsidRPr="008200EB">
                              <w:rPr>
                                <w:color w:val="000000" w:themeColor="text1"/>
                                <w:sz w:val="18"/>
                                <w:szCs w:val="18"/>
                                <w:vertAlign w:val="subscript"/>
                              </w:rPr>
                              <w:t>2</w:t>
                            </w:r>
                            <w:r w:rsidRPr="008813AD">
                              <w:rPr>
                                <w:color w:val="000000" w:themeColor="text1"/>
                                <w:sz w:val="18"/>
                                <w:szCs w:val="18"/>
                              </w:rPr>
                              <w:t>-emissies van vliegtuigen per pas</w:t>
                            </w:r>
                            <w:r w:rsidRPr="008576BF">
                              <w:rPr>
                                <w:color w:val="000000" w:themeColor="text1"/>
                                <w:sz w:val="18"/>
                                <w:szCs w:val="18"/>
                              </w:rPr>
                              <w:t xml:space="preserve">sagierkm  8,5 keer zo hoog als die van hogesnelheidstreinen. Aangezien de broeikasgassen van vliegtuigen ongeveer twee keer zoveel opwarming veroorzaken </w:t>
                            </w:r>
                            <w:r w:rsidR="008200EB">
                              <w:rPr>
                                <w:color w:val="000000" w:themeColor="text1"/>
                                <w:sz w:val="18"/>
                                <w:szCs w:val="18"/>
                              </w:rPr>
                              <w:t xml:space="preserve"> </w:t>
                            </w:r>
                            <w:r w:rsidRPr="008576BF">
                              <w:rPr>
                                <w:color w:val="000000" w:themeColor="text1"/>
                                <w:sz w:val="18"/>
                                <w:szCs w:val="18"/>
                              </w:rPr>
                              <w:t>als alleen hun CO</w:t>
                            </w:r>
                            <w:r w:rsidRPr="008576BF">
                              <w:rPr>
                                <w:color w:val="000000" w:themeColor="text1"/>
                                <w:sz w:val="18"/>
                                <w:szCs w:val="18"/>
                                <w:vertAlign w:val="subscript"/>
                              </w:rPr>
                              <w:t>2</w:t>
                            </w:r>
                            <w:r w:rsidRPr="008576BF">
                              <w:rPr>
                                <w:color w:val="000000" w:themeColor="text1"/>
                                <w:sz w:val="18"/>
                                <w:szCs w:val="18"/>
                              </w:rPr>
                              <w:t xml:space="preserve">, </w:t>
                            </w:r>
                            <w:r w:rsidRPr="00F57DBB">
                              <w:rPr>
                                <w:b/>
                                <w:color w:val="000000" w:themeColor="text1"/>
                                <w:sz w:val="18"/>
                                <w:szCs w:val="18"/>
                              </w:rPr>
                              <w:t>veroorzaken vliegtuigen per passagierkil</w:t>
                            </w:r>
                            <w:r w:rsidRPr="00F57DBB">
                              <w:rPr>
                                <w:b/>
                                <w:color w:val="000000" w:themeColor="text1"/>
                                <w:sz w:val="18"/>
                                <w:szCs w:val="18"/>
                              </w:rPr>
                              <w:t>o</w:t>
                            </w:r>
                            <w:r w:rsidRPr="00F57DBB">
                              <w:rPr>
                                <w:b/>
                                <w:color w:val="000000" w:themeColor="text1"/>
                                <w:sz w:val="18"/>
                                <w:szCs w:val="18"/>
                              </w:rPr>
                              <w:t>meter 17 keer zoveel opwarming als hogesnelheid</w:t>
                            </w:r>
                            <w:r w:rsidRPr="00F57DBB">
                              <w:rPr>
                                <w:b/>
                                <w:color w:val="000000" w:themeColor="text1"/>
                                <w:sz w:val="18"/>
                                <w:szCs w:val="18"/>
                              </w:rPr>
                              <w:t>s</w:t>
                            </w:r>
                            <w:r w:rsidRPr="00F57DBB">
                              <w:rPr>
                                <w:b/>
                                <w:color w:val="000000" w:themeColor="text1"/>
                                <w:sz w:val="18"/>
                                <w:szCs w:val="18"/>
                              </w:rPr>
                              <w:t>treinen.</w:t>
                            </w:r>
                            <w:r w:rsidRPr="008576BF">
                              <w:rPr>
                                <w:color w:val="000000" w:themeColor="text1"/>
                                <w:sz w:val="18"/>
                                <w:szCs w:val="18"/>
                              </w:rPr>
                              <w:t xml:space="preserve"> Treinen worden snel klimaatvriendelijker, vliegtuigen nauwelijks. </w:t>
                            </w:r>
                            <w:r w:rsidR="00EC1A31">
                              <w:rPr>
                                <w:color w:val="000000" w:themeColor="text1"/>
                                <w:sz w:val="18"/>
                                <w:szCs w:val="18"/>
                              </w:rPr>
                              <w:t>Het nu al aanzienlijke verschil wordt dus nog veel groter</w:t>
                            </w:r>
                          </w:p>
                        </w:txbxContent>
                      </v:textbox>
                    </v:shape>
                    <v:shape id="_x0000_s214372" type="#_x0000_t32" style="position:absolute;left:2023;top:12713;width:4220;height:0" o:connectortype="straight" o:regroupid="25" strokecolor="black [3213]" strokeweight="1.5pt"/>
                  </v:group>
                </v:group>
              </w:pict>
            </w:r>
            <w:r w:rsidR="00F3123D" w:rsidRPr="004E5012">
              <w:rPr>
                <w:sz w:val="18"/>
                <w:szCs w:val="18"/>
              </w:rPr>
              <w:t xml:space="preserve">Gemiddeld vliegtuig </w:t>
            </w:r>
          </w:p>
          <w:p w:rsidR="00F3123D" w:rsidRPr="0059104D" w:rsidRDefault="00F3123D" w:rsidP="00F3123D">
            <w:pPr>
              <w:spacing w:line="276" w:lineRule="auto"/>
              <w:jc w:val="left"/>
              <w:rPr>
                <w:sz w:val="18"/>
                <w:szCs w:val="18"/>
              </w:rPr>
            </w:pPr>
            <w:r w:rsidRPr="0059104D">
              <w:rPr>
                <w:sz w:val="18"/>
                <w:szCs w:val="18"/>
              </w:rPr>
              <w:t>Gemiddelde hogesnelheidstrein (Japan)</w:t>
            </w:r>
          </w:p>
        </w:tc>
        <w:tc>
          <w:tcPr>
            <w:tcW w:w="709" w:type="dxa"/>
            <w:tcBorders>
              <w:top w:val="single" w:sz="4" w:space="0" w:color="auto"/>
              <w:left w:val="nil"/>
              <w:bottom w:val="single" w:sz="8" w:space="0" w:color="auto"/>
              <w:right w:val="nil"/>
            </w:tcBorders>
            <w:hideMark/>
          </w:tcPr>
          <w:p w:rsidR="00F3123D" w:rsidRPr="0075042A" w:rsidRDefault="00F3123D" w:rsidP="00F3123D">
            <w:pPr>
              <w:spacing w:before="240" w:after="0"/>
              <w:jc w:val="right"/>
              <w:rPr>
                <w:sz w:val="18"/>
                <w:szCs w:val="18"/>
                <w:lang w:val="en-US"/>
              </w:rPr>
            </w:pPr>
            <w:r w:rsidRPr="0075042A">
              <w:rPr>
                <w:sz w:val="18"/>
                <w:szCs w:val="18"/>
                <w:lang w:val="en-US"/>
              </w:rPr>
              <w:t>80</w:t>
            </w:r>
          </w:p>
          <w:p w:rsidR="00F3123D" w:rsidRPr="0075042A" w:rsidRDefault="00F3123D" w:rsidP="00F3123D">
            <w:pPr>
              <w:spacing w:after="0"/>
              <w:jc w:val="right"/>
              <w:rPr>
                <w:sz w:val="18"/>
                <w:szCs w:val="18"/>
                <w:lang w:val="en-US"/>
              </w:rPr>
            </w:pPr>
            <w:r w:rsidRPr="0075042A">
              <w:rPr>
                <w:sz w:val="18"/>
                <w:szCs w:val="18"/>
                <w:lang w:val="en-US"/>
              </w:rPr>
              <w:t>40</w:t>
            </w:r>
          </w:p>
          <w:p w:rsidR="00F3123D" w:rsidRPr="0075042A" w:rsidRDefault="00F3123D" w:rsidP="00F3123D">
            <w:pPr>
              <w:spacing w:after="0"/>
              <w:jc w:val="right"/>
              <w:rPr>
                <w:b/>
                <w:sz w:val="18"/>
                <w:szCs w:val="18"/>
                <w:lang w:val="en-US"/>
              </w:rPr>
            </w:pPr>
            <w:r w:rsidRPr="0075042A">
              <w:rPr>
                <w:b/>
                <w:sz w:val="18"/>
                <w:szCs w:val="18"/>
                <w:lang w:val="en-US"/>
              </w:rPr>
              <w:t>51</w:t>
            </w:r>
          </w:p>
          <w:p w:rsidR="00F3123D" w:rsidRDefault="00F3123D" w:rsidP="00F3123D">
            <w:pPr>
              <w:spacing w:after="0" w:line="276" w:lineRule="auto"/>
              <w:jc w:val="right"/>
              <w:rPr>
                <w:sz w:val="18"/>
                <w:szCs w:val="18"/>
                <w:lang w:val="en-US"/>
              </w:rPr>
            </w:pPr>
            <w:r w:rsidRPr="0075042A">
              <w:rPr>
                <w:b/>
                <w:sz w:val="18"/>
                <w:szCs w:val="18"/>
                <w:lang w:val="en-US"/>
              </w:rPr>
              <w:t>6</w:t>
            </w:r>
          </w:p>
        </w:tc>
      </w:tr>
    </w:tbl>
    <w:p w:rsidR="002A1E68" w:rsidRDefault="00FC38A5" w:rsidP="00AA0E96">
      <w:pPr>
        <w:spacing w:after="0"/>
      </w:pPr>
      <w:r>
        <w:rPr>
          <w:noProof/>
          <w:lang w:eastAsia="nl-NL"/>
        </w:rPr>
        <w:drawing>
          <wp:anchor distT="0" distB="0" distL="114300" distR="114300" simplePos="0" relativeHeight="252541952" behindDoc="1" locked="0" layoutInCell="1" allowOverlap="1">
            <wp:simplePos x="0" y="0"/>
            <wp:positionH relativeFrom="column">
              <wp:posOffset>178435</wp:posOffset>
            </wp:positionH>
            <wp:positionV relativeFrom="paragraph">
              <wp:posOffset>1162685</wp:posOffset>
            </wp:positionV>
            <wp:extent cx="2472055" cy="2362200"/>
            <wp:effectExtent l="19050" t="0" r="4445" b="0"/>
            <wp:wrapNone/>
            <wp:docPr id="10" name="Afbeelding 3" descr="C:\Users\Hans\AppData\Local\Microsoft\Windows\Temporary Internet Files\Content.Word\Nieuwe afbeel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s\AppData\Local\Microsoft\Windows\Temporary Internet Files\Content.Word\Nieuwe afbeelding.png"/>
                    <pic:cNvPicPr preferRelativeResize="0">
                      <a:picLocks noChangeAspect="1" noChangeArrowheads="1"/>
                    </pic:cNvPicPr>
                  </pic:nvPicPr>
                  <pic:blipFill>
                    <a:blip r:embed="rId18" cstate="print"/>
                    <a:srcRect/>
                    <a:stretch>
                      <a:fillRect/>
                    </a:stretch>
                  </pic:blipFill>
                  <pic:spPr bwMode="auto">
                    <a:xfrm>
                      <a:off x="0" y="0"/>
                      <a:ext cx="2472055" cy="2362200"/>
                    </a:xfrm>
                    <a:prstGeom prst="rect">
                      <a:avLst/>
                    </a:prstGeom>
                    <a:noFill/>
                    <a:ln w="9525">
                      <a:noFill/>
                      <a:miter lim="800000"/>
                      <a:headEnd/>
                      <a:tailEnd/>
                    </a:ln>
                  </pic:spPr>
                </pic:pic>
              </a:graphicData>
            </a:graphic>
          </wp:anchor>
        </w:drawing>
      </w:r>
    </w:p>
    <w:p w:rsidR="002A1E68" w:rsidRDefault="002A1E68" w:rsidP="00AA0E96">
      <w:pPr>
        <w:spacing w:after="0"/>
      </w:pPr>
    </w:p>
    <w:p w:rsidR="002A1E68" w:rsidRDefault="002A1E68" w:rsidP="00AA0E96">
      <w:pPr>
        <w:spacing w:after="0"/>
      </w:pPr>
    </w:p>
    <w:p w:rsidR="002A1E68" w:rsidRDefault="002A1E68" w:rsidP="00AA0E96">
      <w:pPr>
        <w:spacing w:after="0"/>
      </w:pPr>
    </w:p>
    <w:p w:rsidR="002A1E68" w:rsidRDefault="002A1E68" w:rsidP="00AA0E96">
      <w:pPr>
        <w:spacing w:after="0"/>
      </w:pPr>
    </w:p>
    <w:p w:rsidR="002A1E68" w:rsidRDefault="002A1E68" w:rsidP="00AA0E96">
      <w:pPr>
        <w:spacing w:after="0"/>
      </w:pPr>
    </w:p>
    <w:p w:rsidR="002A1E68" w:rsidRDefault="002A1E68" w:rsidP="00AA0E96">
      <w:pPr>
        <w:spacing w:after="0"/>
      </w:pPr>
    </w:p>
    <w:p w:rsidR="002A1E68" w:rsidRDefault="002A1E68" w:rsidP="00AA0E96">
      <w:pPr>
        <w:spacing w:after="0"/>
      </w:pPr>
    </w:p>
    <w:p w:rsidR="002A1E68" w:rsidRDefault="002A1E68" w:rsidP="00AA0E96">
      <w:pPr>
        <w:spacing w:after="0"/>
      </w:pPr>
    </w:p>
    <w:p w:rsidR="002A1E68" w:rsidRDefault="002A1E68" w:rsidP="00AA0E96">
      <w:pPr>
        <w:spacing w:after="0"/>
      </w:pPr>
    </w:p>
    <w:p w:rsidR="002A1E68" w:rsidRPr="00733AF7" w:rsidRDefault="002A1E68" w:rsidP="00AA0E96">
      <w:pPr>
        <w:spacing w:after="0"/>
      </w:pPr>
    </w:p>
    <w:p w:rsidR="007563E3" w:rsidRDefault="007563E3" w:rsidP="00D45E8F">
      <w:pPr>
        <w:spacing w:after="200"/>
        <w:rPr>
          <w:color w:val="7030A0"/>
          <w:sz w:val="24"/>
          <w:szCs w:val="24"/>
        </w:rPr>
      </w:pPr>
    </w:p>
    <w:p w:rsidR="00513D98" w:rsidRDefault="00513D98" w:rsidP="00634E39">
      <w:pPr>
        <w:spacing w:after="0" w:line="240" w:lineRule="auto"/>
        <w:rPr>
          <w:color w:val="7030A0"/>
          <w:sz w:val="24"/>
          <w:szCs w:val="24"/>
        </w:rPr>
      </w:pPr>
    </w:p>
    <w:p w:rsidR="00513D98" w:rsidRDefault="00513D98" w:rsidP="00634E39">
      <w:pPr>
        <w:spacing w:after="0" w:line="240" w:lineRule="auto"/>
        <w:rPr>
          <w:color w:val="7030A0"/>
          <w:sz w:val="24"/>
          <w:szCs w:val="24"/>
        </w:rPr>
      </w:pPr>
    </w:p>
    <w:p w:rsidR="00513D98" w:rsidRDefault="00513D98" w:rsidP="00634E39">
      <w:pPr>
        <w:spacing w:after="0" w:line="240" w:lineRule="auto"/>
        <w:rPr>
          <w:color w:val="7030A0"/>
          <w:sz w:val="24"/>
          <w:szCs w:val="24"/>
        </w:rPr>
      </w:pPr>
    </w:p>
    <w:p w:rsidR="00513D98" w:rsidRDefault="00513D98" w:rsidP="00634E39">
      <w:pPr>
        <w:spacing w:after="0" w:line="240" w:lineRule="auto"/>
        <w:rPr>
          <w:color w:val="7030A0"/>
          <w:sz w:val="24"/>
          <w:szCs w:val="24"/>
        </w:rPr>
      </w:pPr>
    </w:p>
    <w:p w:rsidR="00513D98" w:rsidRDefault="00513D98" w:rsidP="00634E39">
      <w:pPr>
        <w:spacing w:after="0" w:line="240" w:lineRule="auto"/>
        <w:rPr>
          <w:color w:val="7030A0"/>
          <w:sz w:val="24"/>
          <w:szCs w:val="24"/>
        </w:rPr>
      </w:pPr>
    </w:p>
    <w:p w:rsidR="002A1E68" w:rsidRPr="00D45E8F" w:rsidRDefault="002A1E68" w:rsidP="00634E39">
      <w:pPr>
        <w:spacing w:after="0" w:line="240" w:lineRule="auto"/>
        <w:rPr>
          <w:color w:val="7030A0"/>
          <w:sz w:val="24"/>
          <w:szCs w:val="24"/>
        </w:rPr>
      </w:pPr>
      <w:r w:rsidRPr="00D45E8F">
        <w:rPr>
          <w:color w:val="7030A0"/>
          <w:sz w:val="24"/>
          <w:szCs w:val="24"/>
        </w:rPr>
        <w:t>Conclusie: Het Europese netwerk van hogesnelheidstreinen biedt vier voordelen boven korte Europese vluchten:</w:t>
      </w:r>
    </w:p>
    <w:p w:rsidR="00D45E8F" w:rsidRPr="00D45E8F" w:rsidRDefault="002A1E68" w:rsidP="00634E39">
      <w:pPr>
        <w:pStyle w:val="Lijstalinea"/>
        <w:numPr>
          <w:ilvl w:val="0"/>
          <w:numId w:val="18"/>
        </w:numPr>
        <w:spacing w:after="0" w:line="240" w:lineRule="auto"/>
        <w:rPr>
          <w:color w:val="7030A0"/>
          <w:sz w:val="24"/>
          <w:szCs w:val="24"/>
        </w:rPr>
      </w:pPr>
      <w:r w:rsidRPr="00D45E8F">
        <w:rPr>
          <w:color w:val="7030A0"/>
          <w:sz w:val="24"/>
          <w:szCs w:val="24"/>
        </w:rPr>
        <w:t xml:space="preserve">Grote capaciteit voor groei van </w:t>
      </w:r>
      <w:r w:rsidR="00D45E8F" w:rsidRPr="00D45E8F">
        <w:rPr>
          <w:color w:val="7030A0"/>
          <w:sz w:val="24"/>
          <w:szCs w:val="24"/>
        </w:rPr>
        <w:t>het internationale vervoer</w:t>
      </w:r>
    </w:p>
    <w:p w:rsidR="00D45E8F" w:rsidRPr="00D45E8F" w:rsidRDefault="00D45E8F" w:rsidP="00634E39">
      <w:pPr>
        <w:pStyle w:val="Lijstalinea"/>
        <w:numPr>
          <w:ilvl w:val="0"/>
          <w:numId w:val="18"/>
        </w:numPr>
        <w:spacing w:after="0" w:line="240" w:lineRule="auto"/>
        <w:rPr>
          <w:color w:val="7030A0"/>
          <w:sz w:val="24"/>
          <w:szCs w:val="24"/>
        </w:rPr>
      </w:pPr>
      <w:r w:rsidRPr="00D45E8F">
        <w:rPr>
          <w:color w:val="7030A0"/>
          <w:sz w:val="24"/>
          <w:szCs w:val="24"/>
        </w:rPr>
        <w:t>Veel minder energiegebruik per passagierkm</w:t>
      </w:r>
    </w:p>
    <w:p w:rsidR="00D45E8F" w:rsidRPr="00D45E8F" w:rsidRDefault="00D45E8F" w:rsidP="00634E39">
      <w:pPr>
        <w:pStyle w:val="Lijstalinea"/>
        <w:numPr>
          <w:ilvl w:val="0"/>
          <w:numId w:val="18"/>
        </w:numPr>
        <w:spacing w:after="0" w:line="240" w:lineRule="auto"/>
        <w:rPr>
          <w:color w:val="7030A0"/>
          <w:sz w:val="24"/>
          <w:szCs w:val="24"/>
        </w:rPr>
      </w:pPr>
      <w:r w:rsidRPr="00D45E8F">
        <w:rPr>
          <w:color w:val="7030A0"/>
          <w:sz w:val="24"/>
          <w:szCs w:val="24"/>
        </w:rPr>
        <w:t>Aanzienlijk minder opwarmingseffecten die nog verder zullen verminderen</w:t>
      </w:r>
    </w:p>
    <w:p w:rsidR="00D45E8F" w:rsidRPr="00D45E8F" w:rsidRDefault="00D45E8F" w:rsidP="00634E39">
      <w:pPr>
        <w:pStyle w:val="Lijstalinea"/>
        <w:numPr>
          <w:ilvl w:val="0"/>
          <w:numId w:val="18"/>
        </w:numPr>
        <w:spacing w:after="0" w:line="240" w:lineRule="auto"/>
        <w:rPr>
          <w:color w:val="7030A0"/>
          <w:sz w:val="24"/>
          <w:szCs w:val="24"/>
        </w:rPr>
      </w:pPr>
      <w:r w:rsidRPr="00D45E8F">
        <w:rPr>
          <w:color w:val="7030A0"/>
          <w:sz w:val="24"/>
          <w:szCs w:val="24"/>
        </w:rPr>
        <w:t>Niet afhankelijk van steeds duurdere olie</w:t>
      </w:r>
    </w:p>
    <w:p w:rsidR="002E4F6D" w:rsidRDefault="002E4F6D" w:rsidP="00634E39">
      <w:pPr>
        <w:spacing w:after="0" w:line="276" w:lineRule="auto"/>
        <w:jc w:val="left"/>
        <w:rPr>
          <w:rFonts w:ascii="Verdana" w:eastAsiaTheme="majorEastAsia" w:hAnsi="Verdana" w:cstheme="majorBidi"/>
          <w:color w:val="1F497D" w:themeColor="text2"/>
          <w:sz w:val="26"/>
          <w:szCs w:val="26"/>
        </w:rPr>
      </w:pPr>
      <w:r>
        <w:rPr>
          <w:bCs/>
        </w:rPr>
        <w:br w:type="page"/>
      </w:r>
    </w:p>
    <w:p w:rsidR="00CC1C64" w:rsidRPr="00FB03B7" w:rsidRDefault="00CC1C64" w:rsidP="00CC1C64">
      <w:pPr>
        <w:pStyle w:val="Kop2"/>
      </w:pPr>
      <w:bookmarkStart w:id="10" w:name="_Toc349748371"/>
      <w:r w:rsidRPr="00FB03B7">
        <w:rPr>
          <w:bCs w:val="0"/>
        </w:rPr>
        <w:lastRenderedPageBreak/>
        <w:t>4.</w:t>
      </w:r>
      <w:r w:rsidRPr="00FB03B7">
        <w:t xml:space="preserve"> </w:t>
      </w:r>
      <w:r w:rsidR="00FB03B7" w:rsidRPr="00FB03B7">
        <w:t>D</w:t>
      </w:r>
      <w:r w:rsidR="00D46C0A">
        <w:t>ri</w:t>
      </w:r>
      <w:r w:rsidR="00FB03B7" w:rsidRPr="00FB03B7">
        <w:t xml:space="preserve">e </w:t>
      </w:r>
      <w:r w:rsidR="00D46C0A" w:rsidRPr="00FB03B7">
        <w:t>segment</w:t>
      </w:r>
      <w:r w:rsidR="00D46C0A">
        <w:t xml:space="preserve">en van de EU </w:t>
      </w:r>
      <w:r w:rsidR="00FB03B7" w:rsidRPr="00FB03B7">
        <w:t>vervoermarkt</w:t>
      </w:r>
      <w:r w:rsidR="00123890" w:rsidRPr="00FB03B7">
        <w:t>.</w:t>
      </w:r>
      <w:bookmarkEnd w:id="10"/>
      <w:r w:rsidR="00123890" w:rsidRPr="00FB03B7">
        <w:t xml:space="preserve"> </w:t>
      </w:r>
    </w:p>
    <w:p w:rsidR="0028567B" w:rsidRPr="00781C76" w:rsidRDefault="00DF73A4" w:rsidP="00123890">
      <w:pPr>
        <w:spacing w:after="200"/>
      </w:pPr>
      <w:r>
        <w:t>Welke</w:t>
      </w:r>
      <w:r w:rsidR="0028567B" w:rsidRPr="0028567B">
        <w:t xml:space="preserve"> </w:t>
      </w:r>
      <w:r w:rsidR="00750595">
        <w:t xml:space="preserve">economische en maatschappelijke </w:t>
      </w:r>
      <w:r w:rsidR="0028567B" w:rsidRPr="0028567B">
        <w:t xml:space="preserve">effecten </w:t>
      </w:r>
      <w:r>
        <w:t>heeft</w:t>
      </w:r>
      <w:r w:rsidR="00750595">
        <w:t xml:space="preserve"> </w:t>
      </w:r>
      <w:r w:rsidR="0028567B">
        <w:t xml:space="preserve">de combinatie van </w:t>
      </w:r>
      <w:r w:rsidR="0028567B" w:rsidRPr="0028567B">
        <w:t>een n</w:t>
      </w:r>
      <w:r w:rsidR="0028567B">
        <w:t>iet groeiende luch</w:t>
      </w:r>
      <w:r w:rsidR="0028567B">
        <w:t>t</w:t>
      </w:r>
      <w:r w:rsidR="0028567B">
        <w:t xml:space="preserve">vaart </w:t>
      </w:r>
      <w:r w:rsidR="00781C76">
        <w:t xml:space="preserve">en </w:t>
      </w:r>
      <w:r w:rsidR="00D46C0A">
        <w:t xml:space="preserve">een </w:t>
      </w:r>
      <w:r w:rsidR="00750595">
        <w:t>wel groeiend</w:t>
      </w:r>
      <w:r w:rsidR="00781C76">
        <w:t xml:space="preserve"> vervoer per hogesnelheidstrein? </w:t>
      </w:r>
      <w:r w:rsidR="00781C76" w:rsidRPr="00781C76">
        <w:t xml:space="preserve">Om </w:t>
      </w:r>
      <w:r w:rsidR="00750595">
        <w:t>deze vraag te beantwoorden</w:t>
      </w:r>
      <w:r w:rsidR="00781C76" w:rsidRPr="00781C76">
        <w:t xml:space="preserve"> kan de</w:t>
      </w:r>
      <w:r w:rsidR="00750595">
        <w:t xml:space="preserve"> internationale vervoermarkt in de EU </w:t>
      </w:r>
      <w:r w:rsidR="00781C76" w:rsidRPr="00781C76">
        <w:t>in drie seg</w:t>
      </w:r>
      <w:r w:rsidR="00781C76">
        <w:t>menten worden verdeeld:</w:t>
      </w:r>
      <w:r w:rsidR="00781C76" w:rsidRPr="00781C76">
        <w:t xml:space="preserve"> </w:t>
      </w:r>
    </w:p>
    <w:p w:rsidR="0028567B" w:rsidRDefault="00781C76" w:rsidP="00781C76">
      <w:pPr>
        <w:pStyle w:val="Lijstalinea"/>
        <w:numPr>
          <w:ilvl w:val="0"/>
          <w:numId w:val="14"/>
        </w:numPr>
        <w:spacing w:after="200"/>
      </w:pPr>
      <w:r>
        <w:t xml:space="preserve">Het </w:t>
      </w:r>
      <w:r w:rsidRPr="00084E17">
        <w:rPr>
          <w:i/>
        </w:rPr>
        <w:t>Hispeedsegment</w:t>
      </w:r>
      <w:r>
        <w:t xml:space="preserve">: alle luchthavenpassagiers </w:t>
      </w:r>
      <w:r w:rsidR="00084E17">
        <w:t xml:space="preserve">op bestemmingen binnen het bereik van het </w:t>
      </w:r>
      <w:r w:rsidR="009B2633">
        <w:t xml:space="preserve">EU </w:t>
      </w:r>
      <w:r w:rsidR="00084E17">
        <w:t>hispeed-netwerk waarmee de luchthavens verbonden zijn. Zie figuur 2</w:t>
      </w:r>
      <w:r w:rsidR="00750595">
        <w:t xml:space="preserve"> hierboven</w:t>
      </w:r>
      <w:r w:rsidR="00084E17">
        <w:t xml:space="preserve">. </w:t>
      </w:r>
    </w:p>
    <w:p w:rsidR="00084E17" w:rsidRDefault="00084E17" w:rsidP="00781C76">
      <w:pPr>
        <w:pStyle w:val="Lijstalinea"/>
        <w:numPr>
          <w:ilvl w:val="0"/>
          <w:numId w:val="14"/>
        </w:numPr>
        <w:spacing w:after="200"/>
      </w:pPr>
      <w:r>
        <w:t xml:space="preserve">Het </w:t>
      </w:r>
      <w:r w:rsidRPr="00084E17">
        <w:rPr>
          <w:i/>
        </w:rPr>
        <w:t>Zakelijk/maatschappelijke segment</w:t>
      </w:r>
      <w:r>
        <w:t xml:space="preserve"> van luchthavenpassagiers op bestemmingen buiten het bereik van het hierboven genoemde</w:t>
      </w:r>
      <w:r w:rsidR="009B2633">
        <w:t xml:space="preserve"> EU </w:t>
      </w:r>
      <w:r>
        <w:t>hispeed-netwerk.</w:t>
      </w:r>
    </w:p>
    <w:p w:rsidR="00084E17" w:rsidRPr="00781C76" w:rsidRDefault="00084E17" w:rsidP="00781C76">
      <w:pPr>
        <w:pStyle w:val="Lijstalinea"/>
        <w:numPr>
          <w:ilvl w:val="0"/>
          <w:numId w:val="14"/>
        </w:numPr>
        <w:spacing w:after="200"/>
      </w:pPr>
      <w:r>
        <w:t xml:space="preserve">Het </w:t>
      </w:r>
      <w:proofErr w:type="spellStart"/>
      <w:r w:rsidRPr="00017F8F">
        <w:rPr>
          <w:i/>
        </w:rPr>
        <w:t>Vrijetijdsegment</w:t>
      </w:r>
      <w:proofErr w:type="spellEnd"/>
      <w:r>
        <w:t xml:space="preserve"> van luchthavenpassagiers die voor persoonlijke doeleinden reizen, eveneens </w:t>
      </w:r>
      <w:r w:rsidR="00D46C0A">
        <w:t xml:space="preserve">op bestemmingen </w:t>
      </w:r>
      <w:r>
        <w:t>buiten het bereik van het hierboven genoemde</w:t>
      </w:r>
      <w:r w:rsidR="009B2633">
        <w:t xml:space="preserve"> EU</w:t>
      </w:r>
      <w:r>
        <w:t xml:space="preserve"> hispeed-netwerk</w:t>
      </w:r>
      <w:r w:rsidR="00126013">
        <w:t>.</w:t>
      </w:r>
      <w:r>
        <w:t xml:space="preserve"> </w:t>
      </w:r>
    </w:p>
    <w:p w:rsidR="00EC1A31" w:rsidRPr="00106FDF" w:rsidRDefault="007453DE" w:rsidP="00BD7F61">
      <w:pPr>
        <w:spacing w:after="200"/>
      </w:pPr>
      <w:r w:rsidRPr="007453DE">
        <w:rPr>
          <w:rFonts w:ascii="Calibri" w:eastAsia="Times New Roman" w:hAnsi="Calibri" w:cs="Times New Roman"/>
          <w:noProof/>
          <w:color w:val="000000"/>
          <w:sz w:val="20"/>
          <w:szCs w:val="20"/>
          <w:lang w:eastAsia="nl-NL"/>
        </w:rPr>
        <w:pict>
          <v:group id="_x0000_s214436" style="position:absolute;left:0;text-align:left;margin-left:233.65pt;margin-top:84.3pt;width:211.8pt;height:220.55pt;z-index:252606464" coordorigin="6931,10049" coordsize="4236,4411">
            <v:shape id="_x0000_s214437" type="#_x0000_t32" style="position:absolute;left:7044;top:14460;width:4123;height:0" o:connectortype="straight" strokeweight="1.25pt"/>
            <v:group id="_x0000_s214438" style="position:absolute;left:6931;top:10049;width:4169;height:4272" coordorigin="6214,11173" coordsize="4242,4496">
              <v:shape id="_x0000_s214439" type="#_x0000_t202" style="position:absolute;left:6214;top:11173;width:4198;height:699;mso-width-relative:margin;mso-height-relative:margin" stroked="f">
                <v:textbox style="mso-next-textbox:#_x0000_s214439">
                  <w:txbxContent>
                    <w:p w:rsidR="00E10DFA" w:rsidRPr="0075042A" w:rsidRDefault="00E10DFA" w:rsidP="00E10DFA">
                      <w:pPr>
                        <w:spacing w:after="0" w:line="240" w:lineRule="auto"/>
                        <w:jc w:val="lef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 xml:space="preserve">Tabel 2B   Schatting omvang segmenten </w:t>
                      </w:r>
                    </w:p>
                    <w:p w:rsidR="00E10DFA" w:rsidRDefault="00E10DFA" w:rsidP="00E10DFA">
                      <w:pPr>
                        <w:spacing w:line="240" w:lineRule="auto"/>
                        <w:jc w:val="lef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Schiphol (2011)</w:t>
                      </w:r>
                    </w:p>
                    <w:p w:rsidR="00E10DFA" w:rsidRDefault="00E10DFA" w:rsidP="00E10DFA">
                      <w:pPr>
                        <w:spacing w:line="240" w:lineRule="auto"/>
                        <w:jc w:val="left"/>
                        <w:rPr>
                          <w:rFonts w:ascii="Calibri" w:eastAsia="Times New Roman" w:hAnsi="Calibri" w:cs="Times New Roman"/>
                          <w:color w:val="000000"/>
                          <w:sz w:val="18"/>
                          <w:szCs w:val="18"/>
                          <w:lang w:eastAsia="nl-NL"/>
                        </w:rPr>
                      </w:pPr>
                    </w:p>
                    <w:p w:rsidR="00E10DFA" w:rsidRDefault="00E10DFA" w:rsidP="00E10DFA">
                      <w:pPr>
                        <w:spacing w:line="240" w:lineRule="auto"/>
                        <w:jc w:val="left"/>
                        <w:rPr>
                          <w:rFonts w:ascii="Calibri" w:eastAsia="Times New Roman" w:hAnsi="Calibri" w:cs="Times New Roman"/>
                          <w:color w:val="000000"/>
                          <w:sz w:val="18"/>
                          <w:szCs w:val="18"/>
                          <w:lang w:eastAsia="nl-NL"/>
                        </w:rPr>
                      </w:pPr>
                    </w:p>
                    <w:p w:rsidR="00E10DFA" w:rsidRPr="0075042A" w:rsidRDefault="00E10DFA" w:rsidP="00E10DFA">
                      <w:pPr>
                        <w:spacing w:line="240" w:lineRule="auto"/>
                        <w:jc w:val="left"/>
                        <w:rPr>
                          <w:sz w:val="18"/>
                          <w:szCs w:val="18"/>
                        </w:rPr>
                      </w:pPr>
                      <w:r w:rsidRPr="0075042A">
                        <w:rPr>
                          <w:rFonts w:ascii="Calibri" w:eastAsia="Times New Roman" w:hAnsi="Calibri" w:cs="Times New Roman"/>
                          <w:color w:val="000000"/>
                          <w:sz w:val="18"/>
                          <w:szCs w:val="18"/>
                          <w:lang w:eastAsia="nl-NL"/>
                        </w:rPr>
                        <w:t xml:space="preserve"> </w:t>
                      </w:r>
                    </w:p>
                  </w:txbxContent>
                </v:textbox>
              </v:shape>
              <v:shape id="_x0000_s214440" type="#_x0000_t202" style="position:absolute;left:6261;top:11872;width:4195;height:3797;mso-width-relative:margin;mso-height-relative:margin" stroked="f">
                <v:textbox style="mso-next-textbox:#_x0000_s214440">
                  <w:txbxContent>
                    <w:p w:rsidR="00E10DFA" w:rsidRPr="0075042A" w:rsidRDefault="00E10DFA" w:rsidP="00E10DFA">
                      <w:pPr>
                        <w:spacing w:line="240" w:lineRule="auto"/>
                        <w:jc w:val="lef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 xml:space="preserve">Het potentiële </w:t>
                      </w:r>
                      <w:r w:rsidRPr="0075042A">
                        <w:rPr>
                          <w:rFonts w:ascii="Calibri" w:eastAsia="Times New Roman" w:hAnsi="Calibri" w:cs="Times New Roman"/>
                          <w:b/>
                          <w:color w:val="000000"/>
                          <w:sz w:val="18"/>
                          <w:szCs w:val="18"/>
                          <w:lang w:eastAsia="nl-NL"/>
                        </w:rPr>
                        <w:t>Hispeedsegment</w:t>
                      </w:r>
                      <w:r w:rsidRPr="0075042A">
                        <w:rPr>
                          <w:rFonts w:ascii="Calibri" w:eastAsia="Times New Roman" w:hAnsi="Calibri" w:cs="Times New Roman"/>
                          <w:color w:val="000000"/>
                          <w:sz w:val="18"/>
                          <w:szCs w:val="18"/>
                          <w:lang w:eastAsia="nl-NL"/>
                        </w:rPr>
                        <w:t xml:space="preserve"> bedraagt </w:t>
                      </w:r>
                      <w:r w:rsidRPr="0075042A">
                        <w:rPr>
                          <w:rFonts w:ascii="Calibri" w:eastAsia="Times New Roman" w:hAnsi="Calibri" w:cs="Times New Roman"/>
                          <w:b/>
                          <w:color w:val="000000"/>
                          <w:sz w:val="18"/>
                          <w:szCs w:val="18"/>
                          <w:lang w:eastAsia="nl-NL"/>
                        </w:rPr>
                        <w:t>16,5</w:t>
                      </w:r>
                      <w:r w:rsidRPr="0075042A">
                        <w:rPr>
                          <w:rFonts w:ascii="Calibri" w:eastAsia="Times New Roman" w:hAnsi="Calibri" w:cs="Times New Roman"/>
                          <w:color w:val="000000"/>
                          <w:sz w:val="18"/>
                          <w:szCs w:val="18"/>
                          <w:lang w:eastAsia="nl-NL"/>
                        </w:rPr>
                        <w:t xml:space="preserve"> miljoen passagiers (</w:t>
                      </w:r>
                      <w:r w:rsidR="008B38A2">
                        <w:rPr>
                          <w:rFonts w:ascii="Calibri" w:eastAsia="Times New Roman" w:hAnsi="Calibri" w:cs="Times New Roman"/>
                          <w:color w:val="000000"/>
                          <w:sz w:val="18"/>
                          <w:szCs w:val="18"/>
                          <w:lang w:eastAsia="nl-NL"/>
                        </w:rPr>
                        <w:t>Tabel 2</w:t>
                      </w:r>
                      <w:r w:rsidRPr="0075042A">
                        <w:rPr>
                          <w:rFonts w:ascii="Calibri" w:eastAsia="Times New Roman" w:hAnsi="Calibri" w:cs="Times New Roman"/>
                          <w:color w:val="000000"/>
                          <w:sz w:val="18"/>
                          <w:szCs w:val="18"/>
                          <w:lang w:eastAsia="nl-NL"/>
                        </w:rPr>
                        <w:t xml:space="preserve">A). Het aantal passagiers dat buiten bereik van </w:t>
                      </w:r>
                      <w:proofErr w:type="spellStart"/>
                      <w:r w:rsidRPr="0075042A">
                        <w:rPr>
                          <w:rFonts w:ascii="Calibri" w:eastAsia="Times New Roman" w:hAnsi="Calibri" w:cs="Times New Roman"/>
                          <w:color w:val="000000"/>
                          <w:sz w:val="18"/>
                          <w:szCs w:val="18"/>
                          <w:lang w:eastAsia="nl-NL"/>
                        </w:rPr>
                        <w:t>hispeed</w:t>
                      </w:r>
                      <w:proofErr w:type="spellEnd"/>
                      <w:r w:rsidRPr="0075042A">
                        <w:rPr>
                          <w:rFonts w:ascii="Calibri" w:eastAsia="Times New Roman" w:hAnsi="Calibri" w:cs="Times New Roman"/>
                          <w:color w:val="000000"/>
                          <w:sz w:val="18"/>
                          <w:szCs w:val="18"/>
                          <w:lang w:eastAsia="nl-NL"/>
                        </w:rPr>
                        <w:t xml:space="preserve"> reist bedraagt 50 miljoen totaal minus 16,5 miljoen </w:t>
                      </w:r>
                      <w:proofErr w:type="spellStart"/>
                      <w:r w:rsidRPr="0075042A">
                        <w:rPr>
                          <w:rFonts w:ascii="Calibri" w:eastAsia="Times New Roman" w:hAnsi="Calibri" w:cs="Times New Roman"/>
                          <w:color w:val="000000"/>
                          <w:sz w:val="18"/>
                          <w:szCs w:val="18"/>
                          <w:lang w:eastAsia="nl-NL"/>
                        </w:rPr>
                        <w:t>hispeed</w:t>
                      </w:r>
                      <w:proofErr w:type="spellEnd"/>
                      <w:r w:rsidRPr="0075042A">
                        <w:rPr>
                          <w:rFonts w:ascii="Calibri" w:eastAsia="Times New Roman" w:hAnsi="Calibri" w:cs="Times New Roman"/>
                          <w:color w:val="000000"/>
                          <w:sz w:val="18"/>
                          <w:szCs w:val="18"/>
                          <w:lang w:eastAsia="nl-NL"/>
                        </w:rPr>
                        <w:t>, is 33,5 miljoen passagiers in 2011.</w:t>
                      </w:r>
                    </w:p>
                    <w:p w:rsidR="00E10DFA" w:rsidRPr="0075042A" w:rsidRDefault="00E10DFA" w:rsidP="00E10DFA">
                      <w:pPr>
                        <w:spacing w:line="240" w:lineRule="auto"/>
                        <w:jc w:val="lef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 xml:space="preserve">Het </w:t>
                      </w:r>
                      <w:r w:rsidRPr="0075042A">
                        <w:rPr>
                          <w:rFonts w:ascii="Calibri" w:eastAsia="Times New Roman" w:hAnsi="Calibri" w:cs="Times New Roman"/>
                          <w:b/>
                          <w:color w:val="000000"/>
                          <w:sz w:val="18"/>
                          <w:szCs w:val="18"/>
                          <w:lang w:eastAsia="nl-NL"/>
                        </w:rPr>
                        <w:t>Zakelijk/maatschappelijke segment</w:t>
                      </w:r>
                      <w:r w:rsidRPr="0075042A">
                        <w:rPr>
                          <w:rFonts w:ascii="Calibri" w:eastAsia="Times New Roman" w:hAnsi="Calibri" w:cs="Times New Roman"/>
                          <w:color w:val="000000"/>
                          <w:sz w:val="18"/>
                          <w:szCs w:val="18"/>
                          <w:lang w:eastAsia="nl-NL"/>
                        </w:rPr>
                        <w:t xml:space="preserve"> omvat de categorieën zakelijk (33%), Congres/studie (4%) en de helft van fa</w:t>
                      </w:r>
                      <w:r w:rsidRPr="0075042A">
                        <w:rPr>
                          <w:rFonts w:ascii="Calibri" w:eastAsia="Times New Roman" w:hAnsi="Calibri" w:cs="Times New Roman"/>
                          <w:color w:val="000000"/>
                          <w:sz w:val="18"/>
                          <w:szCs w:val="18"/>
                          <w:lang w:eastAsia="nl-NL"/>
                        </w:rPr>
                        <w:softHyphen/>
                        <w:t xml:space="preserve">miliebezoek (10%), totaal (47% van 33 miljoen=) </w:t>
                      </w:r>
                      <w:r w:rsidRPr="0075042A">
                        <w:rPr>
                          <w:rFonts w:ascii="Calibri" w:eastAsia="Times New Roman" w:hAnsi="Calibri" w:cs="Times New Roman"/>
                          <w:b/>
                          <w:color w:val="000000"/>
                          <w:sz w:val="18"/>
                          <w:szCs w:val="18"/>
                          <w:lang w:eastAsia="nl-NL"/>
                        </w:rPr>
                        <w:t>15,7</w:t>
                      </w:r>
                      <w:r w:rsidRPr="0075042A">
                        <w:rPr>
                          <w:rFonts w:ascii="Calibri" w:eastAsia="Times New Roman" w:hAnsi="Calibri" w:cs="Times New Roman"/>
                          <w:color w:val="000000"/>
                          <w:sz w:val="18"/>
                          <w:szCs w:val="18"/>
                          <w:lang w:eastAsia="nl-NL"/>
                        </w:rPr>
                        <w:t xml:space="preserve"> miljoen passagiers. Het </w:t>
                      </w:r>
                      <w:proofErr w:type="spellStart"/>
                      <w:r w:rsidRPr="0075042A">
                        <w:rPr>
                          <w:rFonts w:ascii="Calibri" w:eastAsia="Times New Roman" w:hAnsi="Calibri" w:cs="Times New Roman"/>
                          <w:b/>
                          <w:color w:val="000000"/>
                          <w:sz w:val="18"/>
                          <w:szCs w:val="18"/>
                          <w:lang w:eastAsia="nl-NL"/>
                        </w:rPr>
                        <w:t>vrijetij</w:t>
                      </w:r>
                      <w:r w:rsidRPr="0075042A">
                        <w:rPr>
                          <w:rFonts w:ascii="Calibri" w:eastAsia="Times New Roman" w:hAnsi="Calibri" w:cs="Times New Roman"/>
                          <w:b/>
                          <w:color w:val="000000"/>
                          <w:sz w:val="18"/>
                          <w:szCs w:val="18"/>
                          <w:lang w:eastAsia="nl-NL"/>
                        </w:rPr>
                        <w:t>d</w:t>
                      </w:r>
                      <w:r w:rsidRPr="0075042A">
                        <w:rPr>
                          <w:rFonts w:ascii="Calibri" w:eastAsia="Times New Roman" w:hAnsi="Calibri" w:cs="Times New Roman"/>
                          <w:b/>
                          <w:color w:val="000000"/>
                          <w:sz w:val="18"/>
                          <w:szCs w:val="18"/>
                          <w:lang w:eastAsia="nl-NL"/>
                        </w:rPr>
                        <w:t>segment</w:t>
                      </w:r>
                      <w:proofErr w:type="spellEnd"/>
                      <w:r w:rsidRPr="0075042A">
                        <w:rPr>
                          <w:rFonts w:ascii="Calibri" w:eastAsia="Times New Roman" w:hAnsi="Calibri" w:cs="Times New Roman"/>
                          <w:color w:val="000000"/>
                          <w:sz w:val="18"/>
                          <w:szCs w:val="18"/>
                          <w:lang w:eastAsia="nl-NL"/>
                        </w:rPr>
                        <w:t xml:space="preserve"> omvat alle overige passagiers (</w:t>
                      </w:r>
                      <w:r w:rsidRPr="0075042A">
                        <w:rPr>
                          <w:rFonts w:ascii="Calibri" w:eastAsia="Times New Roman" w:hAnsi="Calibri" w:cs="Times New Roman"/>
                          <w:b/>
                          <w:color w:val="000000"/>
                          <w:sz w:val="18"/>
                          <w:szCs w:val="18"/>
                          <w:lang w:eastAsia="nl-NL"/>
                        </w:rPr>
                        <w:t>17,8</w:t>
                      </w:r>
                      <w:r w:rsidRPr="0075042A">
                        <w:rPr>
                          <w:rFonts w:ascii="Calibri" w:eastAsia="Times New Roman" w:hAnsi="Calibri" w:cs="Times New Roman"/>
                          <w:color w:val="000000"/>
                          <w:sz w:val="18"/>
                          <w:szCs w:val="18"/>
                          <w:lang w:eastAsia="nl-NL"/>
                        </w:rPr>
                        <w:t xml:space="preserve"> mi</w:t>
                      </w:r>
                      <w:r w:rsidRPr="0075042A">
                        <w:rPr>
                          <w:rFonts w:ascii="Calibri" w:eastAsia="Times New Roman" w:hAnsi="Calibri" w:cs="Times New Roman"/>
                          <w:color w:val="000000"/>
                          <w:sz w:val="18"/>
                          <w:szCs w:val="18"/>
                          <w:lang w:eastAsia="nl-NL"/>
                        </w:rPr>
                        <w:t>l</w:t>
                      </w:r>
                      <w:r w:rsidRPr="0075042A">
                        <w:rPr>
                          <w:rFonts w:ascii="Calibri" w:eastAsia="Times New Roman" w:hAnsi="Calibri" w:cs="Times New Roman"/>
                          <w:color w:val="000000"/>
                          <w:sz w:val="18"/>
                          <w:szCs w:val="18"/>
                          <w:lang w:eastAsia="nl-NL"/>
                        </w:rPr>
                        <w:t>joen).</w:t>
                      </w:r>
                    </w:p>
                    <w:p w:rsidR="00E10DFA" w:rsidRDefault="00E10DFA" w:rsidP="00E10DFA">
                      <w:pPr>
                        <w:spacing w:after="0" w:line="240" w:lineRule="auto"/>
                        <w:jc w:val="left"/>
                        <w:rPr>
                          <w:rFonts w:ascii="Calibri" w:eastAsia="Times New Roman" w:hAnsi="Calibri" w:cs="Times New Roman"/>
                          <w:color w:val="000000"/>
                          <w:sz w:val="18"/>
                          <w:szCs w:val="18"/>
                          <w:lang w:eastAsia="nl-NL"/>
                        </w:rPr>
                      </w:pPr>
                    </w:p>
                    <w:p w:rsidR="00E10DFA" w:rsidRPr="0075042A" w:rsidRDefault="00E10DFA" w:rsidP="00E10DFA">
                      <w:pPr>
                        <w:spacing w:after="0" w:line="240" w:lineRule="auto"/>
                        <w:jc w:val="lef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 xml:space="preserve">Elk van de drie segmenten omvat ongeveer </w:t>
                      </w:r>
                      <w:r w:rsidRPr="0075042A">
                        <w:rPr>
                          <w:rFonts w:ascii="Calibri" w:eastAsia="Times New Roman" w:hAnsi="Calibri" w:cs="Times New Roman"/>
                          <w:b/>
                          <w:color w:val="000000"/>
                          <w:sz w:val="18"/>
                          <w:szCs w:val="18"/>
                          <w:lang w:eastAsia="nl-NL"/>
                        </w:rPr>
                        <w:t>een derde van het totaal</w:t>
                      </w:r>
                      <w:r w:rsidRPr="0075042A">
                        <w:rPr>
                          <w:rFonts w:ascii="Calibri" w:eastAsia="Times New Roman" w:hAnsi="Calibri" w:cs="Times New Roman"/>
                          <w:color w:val="000000"/>
                          <w:sz w:val="18"/>
                          <w:szCs w:val="18"/>
                          <w:lang w:eastAsia="nl-NL"/>
                        </w:rPr>
                        <w:t>.</w:t>
                      </w:r>
                    </w:p>
                  </w:txbxContent>
                </v:textbox>
              </v:shape>
            </v:group>
            <v:shape id="_x0000_s214441" type="#_x0000_t32" style="position:absolute;left:7044;top:10652;width:4123;height:0" o:connectortype="straight" strokeweight="1.25pt"/>
            <w10:wrap type="square"/>
          </v:group>
        </w:pict>
      </w:r>
      <w:r w:rsidR="00126013" w:rsidRPr="00126013">
        <w:t xml:space="preserve">Om een </w:t>
      </w:r>
      <w:r w:rsidR="00126013">
        <w:t>indruk</w:t>
      </w:r>
      <w:r w:rsidR="00126013" w:rsidRPr="00126013">
        <w:t xml:space="preserve"> te k</w:t>
      </w:r>
      <w:r w:rsidR="00126013">
        <w:t xml:space="preserve">rijgen van de omvang van deze segmenten is een schatting gemaakt voor Schiphol </w:t>
      </w:r>
      <w:r w:rsidR="00126013" w:rsidRPr="00126013">
        <w:t xml:space="preserve">(Traffic Review 2011; </w:t>
      </w:r>
      <w:r w:rsidR="00126013">
        <w:t>zie tabel</w:t>
      </w:r>
      <w:r w:rsidR="008B38A2">
        <w:t>len</w:t>
      </w:r>
      <w:r w:rsidR="00126013" w:rsidRPr="00126013">
        <w:t xml:space="preserve"> 2</w:t>
      </w:r>
      <w:r w:rsidR="008B38A2">
        <w:t xml:space="preserve">A en B </w:t>
      </w:r>
      <w:r w:rsidR="00126013">
        <w:t>hieronder</w:t>
      </w:r>
      <w:r w:rsidR="00126013" w:rsidRPr="00126013">
        <w:t>).</w:t>
      </w:r>
      <w:r w:rsidR="00126013">
        <w:t xml:space="preserve"> Elk van de drie segmenten blijkt ongeveer een derde te omvatten van het totaal aantal van 50 miljoen passagiers. De verhoudingen kunnen in andere luchthavens van de EU anders liggen, maar </w:t>
      </w:r>
      <w:r w:rsidR="008525C9">
        <w:t>de</w:t>
      </w:r>
      <w:r w:rsidR="00126013">
        <w:t xml:space="preserve"> </w:t>
      </w:r>
      <w:proofErr w:type="spellStart"/>
      <w:r w:rsidR="00126013">
        <w:t>Hispeed</w:t>
      </w:r>
      <w:proofErr w:type="spellEnd"/>
      <w:r w:rsidR="00126013">
        <w:t xml:space="preserve">- </w:t>
      </w:r>
      <w:r w:rsidR="008525C9">
        <w:t>en</w:t>
      </w:r>
      <w:r w:rsidR="00126013">
        <w:t xml:space="preserve"> </w:t>
      </w:r>
      <w:proofErr w:type="spellStart"/>
      <w:r w:rsidR="00126013">
        <w:t>Vrijetijdsegment</w:t>
      </w:r>
      <w:r w:rsidR="008525C9">
        <w:t>en</w:t>
      </w:r>
      <w:proofErr w:type="spellEnd"/>
      <w:r w:rsidR="00126013">
        <w:t xml:space="preserve"> </w:t>
      </w:r>
      <w:r w:rsidR="00017F8F">
        <w:t xml:space="preserve">zullen ook daar miljoenen passagiers omvatten. </w:t>
      </w:r>
    </w:p>
    <w:tbl>
      <w:tblPr>
        <w:tblpPr w:leftFromText="141" w:rightFromText="141" w:vertAnchor="text" w:horzAnchor="margin" w:tblpY="133"/>
        <w:tblW w:w="4606" w:type="dxa"/>
        <w:tblLayout w:type="fixed"/>
        <w:tblCellMar>
          <w:left w:w="70" w:type="dxa"/>
          <w:right w:w="70" w:type="dxa"/>
        </w:tblCellMar>
        <w:tblLook w:val="04A0"/>
      </w:tblPr>
      <w:tblGrid>
        <w:gridCol w:w="1204"/>
        <w:gridCol w:w="87"/>
        <w:gridCol w:w="906"/>
        <w:gridCol w:w="1134"/>
        <w:gridCol w:w="1275"/>
      </w:tblGrid>
      <w:tr w:rsidR="00E10DFA" w:rsidRPr="004669E4" w:rsidTr="00E10DFA">
        <w:trPr>
          <w:trHeight w:val="405"/>
        </w:trPr>
        <w:tc>
          <w:tcPr>
            <w:tcW w:w="4606" w:type="dxa"/>
            <w:gridSpan w:val="5"/>
            <w:tcBorders>
              <w:top w:val="nil"/>
              <w:left w:val="nil"/>
              <w:bottom w:val="single" w:sz="12" w:space="0" w:color="auto"/>
              <w:right w:val="nil"/>
            </w:tcBorders>
            <w:shd w:val="clear" w:color="auto" w:fill="auto"/>
            <w:vAlign w:val="center"/>
            <w:hideMark/>
          </w:tcPr>
          <w:p w:rsidR="00E10DFA" w:rsidRPr="0075042A" w:rsidRDefault="007453DE" w:rsidP="00E10DFA">
            <w:pPr>
              <w:spacing w:after="0" w:line="240" w:lineRule="auto"/>
              <w:jc w:val="left"/>
              <w:rPr>
                <w:rFonts w:ascii="Calibri" w:eastAsia="Times New Roman" w:hAnsi="Calibri" w:cs="Times New Roman"/>
                <w:color w:val="000000"/>
                <w:sz w:val="18"/>
                <w:szCs w:val="18"/>
                <w:lang w:val="en-US" w:eastAsia="nl-NL"/>
              </w:rPr>
            </w:pPr>
            <w:r>
              <w:rPr>
                <w:rFonts w:ascii="Calibri" w:eastAsia="Times New Roman" w:hAnsi="Calibri" w:cs="Times New Roman"/>
                <w:noProof/>
                <w:color w:val="000000"/>
                <w:sz w:val="18"/>
                <w:szCs w:val="18"/>
                <w:lang w:eastAsia="nl-NL"/>
              </w:rPr>
              <w:pict>
                <v:shape id="_x0000_s214442" type="#_x0000_t32" style="position:absolute;margin-left:-3.75pt;margin-top:9.1pt;width:442.2pt;height:0;z-index:252608512" o:connectortype="straight" stroked="f" strokeweight="1.5pt"/>
              </w:pict>
            </w:r>
            <w:proofErr w:type="spellStart"/>
            <w:r w:rsidR="00E10DFA" w:rsidRPr="0075042A">
              <w:rPr>
                <w:rFonts w:ascii="Calibri" w:eastAsia="Times New Roman" w:hAnsi="Calibri" w:cs="Times New Roman"/>
                <w:color w:val="000000"/>
                <w:sz w:val="18"/>
                <w:szCs w:val="18"/>
                <w:lang w:val="en-US" w:eastAsia="nl-NL"/>
              </w:rPr>
              <w:t>Tabel</w:t>
            </w:r>
            <w:proofErr w:type="spellEnd"/>
            <w:r w:rsidR="00E10DFA" w:rsidRPr="0075042A">
              <w:rPr>
                <w:rFonts w:ascii="Calibri" w:eastAsia="Times New Roman" w:hAnsi="Calibri" w:cs="Times New Roman"/>
                <w:color w:val="000000"/>
                <w:sz w:val="18"/>
                <w:szCs w:val="18"/>
                <w:lang w:val="en-US" w:eastAsia="nl-NL"/>
              </w:rPr>
              <w:t xml:space="preserve"> 2A  </w:t>
            </w:r>
            <w:proofErr w:type="spellStart"/>
            <w:r w:rsidR="00E10DFA" w:rsidRPr="0075042A">
              <w:rPr>
                <w:rFonts w:ascii="Calibri" w:eastAsia="Times New Roman" w:hAnsi="Calibri" w:cs="Times New Roman"/>
                <w:color w:val="000000"/>
                <w:sz w:val="18"/>
                <w:szCs w:val="18"/>
                <w:lang w:val="en-US" w:eastAsia="nl-NL"/>
              </w:rPr>
              <w:t>Potentiële</w:t>
            </w:r>
            <w:proofErr w:type="spellEnd"/>
            <w:r w:rsidR="00E10DFA" w:rsidRPr="0075042A">
              <w:rPr>
                <w:rFonts w:ascii="Calibri" w:eastAsia="Times New Roman" w:hAnsi="Calibri" w:cs="Times New Roman"/>
                <w:color w:val="000000"/>
                <w:sz w:val="18"/>
                <w:szCs w:val="18"/>
                <w:lang w:val="en-US" w:eastAsia="nl-NL"/>
              </w:rPr>
              <w:t xml:space="preserve"> hi-speed </w:t>
            </w:r>
            <w:proofErr w:type="spellStart"/>
            <w:r w:rsidR="00E10DFA" w:rsidRPr="0075042A">
              <w:rPr>
                <w:rFonts w:ascii="Calibri" w:eastAsia="Times New Roman" w:hAnsi="Calibri" w:cs="Times New Roman"/>
                <w:color w:val="000000"/>
                <w:sz w:val="18"/>
                <w:szCs w:val="18"/>
                <w:lang w:val="en-US" w:eastAsia="nl-NL"/>
              </w:rPr>
              <w:t>passagiers</w:t>
            </w:r>
            <w:proofErr w:type="spellEnd"/>
            <w:r w:rsidR="00E10DFA" w:rsidRPr="0075042A">
              <w:rPr>
                <w:rFonts w:ascii="Calibri" w:eastAsia="Times New Roman" w:hAnsi="Calibri" w:cs="Times New Roman"/>
                <w:color w:val="000000"/>
                <w:sz w:val="18"/>
                <w:szCs w:val="18"/>
                <w:lang w:val="en-US" w:eastAsia="nl-NL"/>
              </w:rPr>
              <w:t xml:space="preserve"> </w:t>
            </w:r>
          </w:p>
          <w:p w:rsidR="00E10DFA" w:rsidRPr="00026436" w:rsidRDefault="00E10DFA" w:rsidP="00E10DFA">
            <w:pPr>
              <w:spacing w:line="240" w:lineRule="auto"/>
              <w:jc w:val="left"/>
              <w:rPr>
                <w:rFonts w:ascii="Calibri" w:eastAsia="Times New Roman" w:hAnsi="Calibri" w:cs="Times New Roman"/>
                <w:color w:val="000000"/>
                <w:sz w:val="20"/>
                <w:szCs w:val="20"/>
                <w:lang w:val="en-US" w:eastAsia="nl-NL"/>
              </w:rPr>
            </w:pPr>
            <w:proofErr w:type="spellStart"/>
            <w:r w:rsidRPr="0075042A">
              <w:rPr>
                <w:rFonts w:ascii="Calibri" w:eastAsia="Times New Roman" w:hAnsi="Calibri" w:cs="Times New Roman"/>
                <w:color w:val="000000"/>
                <w:sz w:val="18"/>
                <w:szCs w:val="18"/>
                <w:lang w:val="en-US" w:eastAsia="nl-NL"/>
              </w:rPr>
              <w:t>Schiphol</w:t>
            </w:r>
            <w:proofErr w:type="spellEnd"/>
            <w:r w:rsidRPr="0075042A">
              <w:rPr>
                <w:rFonts w:ascii="Calibri" w:eastAsia="Times New Roman" w:hAnsi="Calibri" w:cs="Times New Roman"/>
                <w:color w:val="000000"/>
                <w:sz w:val="18"/>
                <w:szCs w:val="18"/>
                <w:lang w:val="en-US" w:eastAsia="nl-NL"/>
              </w:rPr>
              <w:t xml:space="preserve"> (2011)</w:t>
            </w:r>
          </w:p>
        </w:tc>
      </w:tr>
      <w:tr w:rsidR="00E10DFA" w:rsidRPr="00007646" w:rsidTr="00E10DFA">
        <w:trPr>
          <w:trHeight w:val="765"/>
        </w:trPr>
        <w:tc>
          <w:tcPr>
            <w:tcW w:w="1204" w:type="dxa"/>
            <w:tcBorders>
              <w:top w:val="single" w:sz="12" w:space="0" w:color="auto"/>
              <w:bottom w:val="single" w:sz="4" w:space="0" w:color="auto"/>
            </w:tcBorders>
            <w:shd w:val="clear" w:color="auto" w:fill="auto"/>
            <w:vAlign w:val="center"/>
            <w:hideMark/>
          </w:tcPr>
          <w:p w:rsidR="00E10DFA" w:rsidRPr="0075042A" w:rsidRDefault="00E10DFA" w:rsidP="00E10DFA">
            <w:pPr>
              <w:spacing w:after="0" w:line="240" w:lineRule="auto"/>
              <w:jc w:val="left"/>
              <w:rPr>
                <w:rFonts w:ascii="Calibri" w:eastAsia="Times New Roman" w:hAnsi="Calibri" w:cs="Times New Roman"/>
                <w:color w:val="000000"/>
                <w:sz w:val="18"/>
                <w:szCs w:val="18"/>
                <w:lang w:val="en-US" w:eastAsia="nl-NL"/>
              </w:rPr>
            </w:pPr>
            <w:r w:rsidRPr="0075042A">
              <w:rPr>
                <w:rFonts w:ascii="Calibri" w:eastAsia="Times New Roman" w:hAnsi="Calibri" w:cs="Times New Roman"/>
                <w:color w:val="000000"/>
                <w:sz w:val="18"/>
                <w:szCs w:val="18"/>
                <w:lang w:val="en-US" w:eastAsia="nl-NL"/>
              </w:rPr>
              <w:t>Origin/</w:t>
            </w:r>
          </w:p>
          <w:p w:rsidR="00E10DFA" w:rsidRPr="0075042A" w:rsidRDefault="00E10DFA" w:rsidP="00E10DFA">
            <w:pPr>
              <w:spacing w:after="0" w:line="240" w:lineRule="auto"/>
              <w:jc w:val="left"/>
              <w:rPr>
                <w:rFonts w:ascii="Calibri" w:eastAsia="Times New Roman" w:hAnsi="Calibri" w:cs="Times New Roman"/>
                <w:color w:val="000000"/>
                <w:sz w:val="18"/>
                <w:szCs w:val="18"/>
                <w:lang w:val="en-US" w:eastAsia="nl-NL"/>
              </w:rPr>
            </w:pPr>
            <w:r w:rsidRPr="0075042A">
              <w:rPr>
                <w:rFonts w:ascii="Calibri" w:eastAsia="Times New Roman" w:hAnsi="Calibri" w:cs="Times New Roman"/>
                <w:color w:val="000000"/>
                <w:sz w:val="18"/>
                <w:szCs w:val="18"/>
                <w:lang w:val="en-US" w:eastAsia="nl-NL"/>
              </w:rPr>
              <w:t>Destination</w:t>
            </w:r>
          </w:p>
        </w:tc>
        <w:tc>
          <w:tcPr>
            <w:tcW w:w="993" w:type="dxa"/>
            <w:gridSpan w:val="2"/>
            <w:tcBorders>
              <w:top w:val="single" w:sz="12" w:space="0" w:color="auto"/>
              <w:bottom w:val="single" w:sz="4" w:space="0" w:color="auto"/>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Miljoen passagiers in  2011</w:t>
            </w:r>
          </w:p>
        </w:tc>
        <w:tc>
          <w:tcPr>
            <w:tcW w:w="1134" w:type="dxa"/>
            <w:tcBorders>
              <w:top w:val="single" w:sz="12" w:space="0" w:color="auto"/>
              <w:bottom w:val="single" w:sz="4" w:space="0" w:color="auto"/>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val="en-US" w:eastAsia="nl-NL"/>
              </w:rPr>
            </w:pPr>
            <w:r w:rsidRPr="0075042A">
              <w:rPr>
                <w:rFonts w:ascii="Calibri" w:eastAsia="Times New Roman" w:hAnsi="Calibri" w:cs="Times New Roman"/>
                <w:color w:val="000000"/>
                <w:sz w:val="18"/>
                <w:szCs w:val="18"/>
                <w:lang w:val="en-US" w:eastAsia="nl-NL"/>
              </w:rPr>
              <w:t xml:space="preserve">Hi-speed </w:t>
            </w:r>
            <w:proofErr w:type="spellStart"/>
            <w:r w:rsidRPr="0075042A">
              <w:rPr>
                <w:rFonts w:ascii="Calibri" w:eastAsia="Times New Roman" w:hAnsi="Calibri" w:cs="Times New Roman"/>
                <w:color w:val="000000"/>
                <w:sz w:val="18"/>
                <w:szCs w:val="18"/>
                <w:lang w:val="en-US" w:eastAsia="nl-NL"/>
              </w:rPr>
              <w:t>potentieel</w:t>
            </w:r>
            <w:proofErr w:type="spellEnd"/>
            <w:r w:rsidRPr="0075042A">
              <w:rPr>
                <w:rFonts w:ascii="Calibri" w:eastAsia="Times New Roman" w:hAnsi="Calibri" w:cs="Times New Roman"/>
                <w:color w:val="000000"/>
                <w:sz w:val="18"/>
                <w:szCs w:val="18"/>
                <w:lang w:val="en-US" w:eastAsia="nl-NL"/>
              </w:rPr>
              <w:t xml:space="preserve"> per origin/ destination </w:t>
            </w:r>
          </w:p>
        </w:tc>
        <w:tc>
          <w:tcPr>
            <w:tcW w:w="1275" w:type="dxa"/>
            <w:tcBorders>
              <w:top w:val="single" w:sz="12" w:space="0" w:color="auto"/>
              <w:bottom w:val="single" w:sz="4" w:space="0" w:color="auto"/>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Hi-speed p</w:t>
            </w:r>
            <w:r w:rsidRPr="0075042A">
              <w:rPr>
                <w:rFonts w:ascii="Calibri" w:eastAsia="Times New Roman" w:hAnsi="Calibri" w:cs="Times New Roman"/>
                <w:color w:val="000000"/>
                <w:sz w:val="18"/>
                <w:szCs w:val="18"/>
                <w:lang w:eastAsia="nl-NL"/>
              </w:rPr>
              <w:t>o</w:t>
            </w:r>
            <w:r w:rsidRPr="0075042A">
              <w:rPr>
                <w:rFonts w:ascii="Calibri" w:eastAsia="Times New Roman" w:hAnsi="Calibri" w:cs="Times New Roman"/>
                <w:color w:val="000000"/>
                <w:sz w:val="18"/>
                <w:szCs w:val="18"/>
                <w:lang w:eastAsia="nl-NL"/>
              </w:rPr>
              <w:t>tentieel in miljoen pass</w:t>
            </w:r>
            <w:r w:rsidRPr="0075042A">
              <w:rPr>
                <w:rFonts w:ascii="Calibri" w:eastAsia="Times New Roman" w:hAnsi="Calibri" w:cs="Times New Roman"/>
                <w:color w:val="000000"/>
                <w:sz w:val="18"/>
                <w:szCs w:val="18"/>
                <w:lang w:eastAsia="nl-NL"/>
              </w:rPr>
              <w:t>a</w:t>
            </w:r>
            <w:r w:rsidRPr="0075042A">
              <w:rPr>
                <w:rFonts w:ascii="Calibri" w:eastAsia="Times New Roman" w:hAnsi="Calibri" w:cs="Times New Roman"/>
                <w:color w:val="000000"/>
                <w:sz w:val="18"/>
                <w:szCs w:val="18"/>
                <w:lang w:eastAsia="nl-NL"/>
              </w:rPr>
              <w:t xml:space="preserve">giers </w:t>
            </w:r>
          </w:p>
        </w:tc>
      </w:tr>
      <w:tr w:rsidR="00E10DFA" w:rsidRPr="009C1BBA" w:rsidTr="00E10DFA">
        <w:trPr>
          <w:trHeight w:val="300"/>
        </w:trPr>
        <w:tc>
          <w:tcPr>
            <w:tcW w:w="1291" w:type="dxa"/>
            <w:gridSpan w:val="2"/>
            <w:tcBorders>
              <w:top w:val="single" w:sz="4" w:space="0" w:color="auto"/>
              <w:bottom w:val="nil"/>
            </w:tcBorders>
            <w:shd w:val="clear" w:color="auto" w:fill="auto"/>
            <w:vAlign w:val="center"/>
            <w:hideMark/>
          </w:tcPr>
          <w:p w:rsidR="00E10DFA" w:rsidRPr="0075042A" w:rsidRDefault="00E10DFA" w:rsidP="00E10DFA">
            <w:pPr>
              <w:spacing w:after="0" w:line="240" w:lineRule="auto"/>
              <w:jc w:val="lef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VK</w:t>
            </w:r>
          </w:p>
        </w:tc>
        <w:tc>
          <w:tcPr>
            <w:tcW w:w="906" w:type="dxa"/>
            <w:tcBorders>
              <w:top w:val="single" w:sz="4" w:space="0" w:color="auto"/>
              <w:bottom w:val="nil"/>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7.3</w:t>
            </w:r>
          </w:p>
        </w:tc>
        <w:tc>
          <w:tcPr>
            <w:tcW w:w="1134" w:type="dxa"/>
            <w:tcBorders>
              <w:top w:val="single" w:sz="4" w:space="0" w:color="auto"/>
              <w:bottom w:val="nil"/>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80%</w:t>
            </w:r>
          </w:p>
        </w:tc>
        <w:tc>
          <w:tcPr>
            <w:tcW w:w="1275" w:type="dxa"/>
            <w:tcBorders>
              <w:top w:val="single" w:sz="4" w:space="0" w:color="auto"/>
              <w:bottom w:val="nil"/>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5.8</w:t>
            </w:r>
          </w:p>
        </w:tc>
      </w:tr>
      <w:tr w:rsidR="00E10DFA" w:rsidRPr="009C1BBA" w:rsidTr="00E10DFA">
        <w:trPr>
          <w:trHeight w:val="300"/>
        </w:trPr>
        <w:tc>
          <w:tcPr>
            <w:tcW w:w="1291" w:type="dxa"/>
            <w:gridSpan w:val="2"/>
            <w:tcBorders>
              <w:top w:val="nil"/>
              <w:bottom w:val="nil"/>
            </w:tcBorders>
            <w:shd w:val="clear" w:color="auto" w:fill="auto"/>
            <w:vAlign w:val="center"/>
            <w:hideMark/>
          </w:tcPr>
          <w:p w:rsidR="00E10DFA" w:rsidRPr="0075042A" w:rsidRDefault="00E10DFA" w:rsidP="00E10DFA">
            <w:pPr>
              <w:spacing w:after="0" w:line="240" w:lineRule="auto"/>
              <w:jc w:val="lef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Spanje</w:t>
            </w:r>
          </w:p>
        </w:tc>
        <w:tc>
          <w:tcPr>
            <w:tcW w:w="906" w:type="dxa"/>
            <w:tcBorders>
              <w:top w:val="nil"/>
              <w:bottom w:val="nil"/>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4.3</w:t>
            </w:r>
          </w:p>
        </w:tc>
        <w:tc>
          <w:tcPr>
            <w:tcW w:w="1134" w:type="dxa"/>
            <w:tcBorders>
              <w:top w:val="nil"/>
              <w:bottom w:val="nil"/>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50%</w:t>
            </w:r>
          </w:p>
        </w:tc>
        <w:tc>
          <w:tcPr>
            <w:tcW w:w="1275" w:type="dxa"/>
            <w:tcBorders>
              <w:top w:val="nil"/>
              <w:bottom w:val="nil"/>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2.1</w:t>
            </w:r>
          </w:p>
        </w:tc>
      </w:tr>
      <w:tr w:rsidR="00E10DFA" w:rsidRPr="009C1BBA" w:rsidTr="00E10DFA">
        <w:trPr>
          <w:trHeight w:val="300"/>
        </w:trPr>
        <w:tc>
          <w:tcPr>
            <w:tcW w:w="1291" w:type="dxa"/>
            <w:gridSpan w:val="2"/>
            <w:tcBorders>
              <w:top w:val="nil"/>
              <w:bottom w:val="nil"/>
            </w:tcBorders>
            <w:shd w:val="clear" w:color="auto" w:fill="auto"/>
            <w:vAlign w:val="center"/>
            <w:hideMark/>
          </w:tcPr>
          <w:p w:rsidR="00E10DFA" w:rsidRPr="0075042A" w:rsidRDefault="00E10DFA" w:rsidP="00E10DFA">
            <w:pPr>
              <w:spacing w:after="0" w:line="240" w:lineRule="auto"/>
              <w:jc w:val="lef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Duitsland</w:t>
            </w:r>
          </w:p>
        </w:tc>
        <w:tc>
          <w:tcPr>
            <w:tcW w:w="906" w:type="dxa"/>
            <w:tcBorders>
              <w:top w:val="nil"/>
              <w:bottom w:val="nil"/>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3.3</w:t>
            </w:r>
          </w:p>
        </w:tc>
        <w:tc>
          <w:tcPr>
            <w:tcW w:w="1134" w:type="dxa"/>
            <w:tcBorders>
              <w:top w:val="nil"/>
              <w:bottom w:val="nil"/>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90%</w:t>
            </w:r>
          </w:p>
        </w:tc>
        <w:tc>
          <w:tcPr>
            <w:tcW w:w="1275" w:type="dxa"/>
            <w:tcBorders>
              <w:top w:val="nil"/>
              <w:bottom w:val="nil"/>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3.0</w:t>
            </w:r>
          </w:p>
        </w:tc>
      </w:tr>
      <w:tr w:rsidR="00E10DFA" w:rsidRPr="009C1BBA" w:rsidTr="00E10DFA">
        <w:trPr>
          <w:trHeight w:val="300"/>
        </w:trPr>
        <w:tc>
          <w:tcPr>
            <w:tcW w:w="1291" w:type="dxa"/>
            <w:gridSpan w:val="2"/>
            <w:tcBorders>
              <w:top w:val="nil"/>
              <w:bottom w:val="nil"/>
            </w:tcBorders>
            <w:shd w:val="clear" w:color="auto" w:fill="auto"/>
            <w:vAlign w:val="center"/>
            <w:hideMark/>
          </w:tcPr>
          <w:p w:rsidR="00E10DFA" w:rsidRPr="0075042A" w:rsidRDefault="00E10DFA" w:rsidP="00E10DFA">
            <w:pPr>
              <w:spacing w:after="0" w:line="240" w:lineRule="auto"/>
              <w:jc w:val="lef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Italië</w:t>
            </w:r>
          </w:p>
        </w:tc>
        <w:tc>
          <w:tcPr>
            <w:tcW w:w="906" w:type="dxa"/>
            <w:tcBorders>
              <w:top w:val="nil"/>
              <w:bottom w:val="nil"/>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2.7</w:t>
            </w:r>
          </w:p>
        </w:tc>
        <w:tc>
          <w:tcPr>
            <w:tcW w:w="1134" w:type="dxa"/>
            <w:tcBorders>
              <w:top w:val="nil"/>
              <w:bottom w:val="nil"/>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75%</w:t>
            </w:r>
          </w:p>
        </w:tc>
        <w:tc>
          <w:tcPr>
            <w:tcW w:w="1275" w:type="dxa"/>
            <w:tcBorders>
              <w:top w:val="nil"/>
              <w:bottom w:val="nil"/>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2.0</w:t>
            </w:r>
          </w:p>
        </w:tc>
      </w:tr>
      <w:tr w:rsidR="00E10DFA" w:rsidRPr="009C1BBA" w:rsidTr="00E10DFA">
        <w:trPr>
          <w:trHeight w:val="300"/>
        </w:trPr>
        <w:tc>
          <w:tcPr>
            <w:tcW w:w="1291" w:type="dxa"/>
            <w:gridSpan w:val="2"/>
            <w:tcBorders>
              <w:top w:val="nil"/>
              <w:bottom w:val="nil"/>
            </w:tcBorders>
            <w:shd w:val="clear" w:color="auto" w:fill="auto"/>
            <w:vAlign w:val="center"/>
            <w:hideMark/>
          </w:tcPr>
          <w:p w:rsidR="00E10DFA" w:rsidRPr="0075042A" w:rsidRDefault="00E10DFA" w:rsidP="00E10DFA">
            <w:pPr>
              <w:spacing w:after="0" w:line="240" w:lineRule="auto"/>
              <w:jc w:val="lef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Frankrijk</w:t>
            </w:r>
          </w:p>
        </w:tc>
        <w:tc>
          <w:tcPr>
            <w:tcW w:w="906" w:type="dxa"/>
            <w:tcBorders>
              <w:top w:val="nil"/>
              <w:bottom w:val="nil"/>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2.2</w:t>
            </w:r>
          </w:p>
        </w:tc>
        <w:tc>
          <w:tcPr>
            <w:tcW w:w="1134" w:type="dxa"/>
            <w:tcBorders>
              <w:top w:val="nil"/>
              <w:bottom w:val="nil"/>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90%</w:t>
            </w:r>
          </w:p>
        </w:tc>
        <w:tc>
          <w:tcPr>
            <w:tcW w:w="1275" w:type="dxa"/>
            <w:tcBorders>
              <w:top w:val="nil"/>
              <w:bottom w:val="nil"/>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2.0</w:t>
            </w:r>
          </w:p>
        </w:tc>
      </w:tr>
      <w:tr w:rsidR="00E10DFA" w:rsidRPr="009C1BBA" w:rsidTr="00E10DFA">
        <w:trPr>
          <w:trHeight w:val="300"/>
        </w:trPr>
        <w:tc>
          <w:tcPr>
            <w:tcW w:w="1291" w:type="dxa"/>
            <w:gridSpan w:val="2"/>
            <w:tcBorders>
              <w:top w:val="nil"/>
              <w:bottom w:val="nil"/>
            </w:tcBorders>
            <w:shd w:val="clear" w:color="auto" w:fill="auto"/>
            <w:vAlign w:val="center"/>
            <w:hideMark/>
          </w:tcPr>
          <w:p w:rsidR="00E10DFA" w:rsidRPr="0075042A" w:rsidRDefault="00E10DFA" w:rsidP="00E10DFA">
            <w:pPr>
              <w:spacing w:after="0" w:line="240" w:lineRule="auto"/>
              <w:jc w:val="lef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Zwitserland</w:t>
            </w:r>
          </w:p>
        </w:tc>
        <w:tc>
          <w:tcPr>
            <w:tcW w:w="906" w:type="dxa"/>
            <w:tcBorders>
              <w:top w:val="nil"/>
              <w:bottom w:val="nil"/>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1.5</w:t>
            </w:r>
          </w:p>
        </w:tc>
        <w:tc>
          <w:tcPr>
            <w:tcW w:w="1134" w:type="dxa"/>
            <w:tcBorders>
              <w:top w:val="nil"/>
              <w:bottom w:val="nil"/>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75%</w:t>
            </w:r>
          </w:p>
        </w:tc>
        <w:tc>
          <w:tcPr>
            <w:tcW w:w="1275" w:type="dxa"/>
            <w:tcBorders>
              <w:top w:val="nil"/>
              <w:bottom w:val="nil"/>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1.1</w:t>
            </w:r>
          </w:p>
        </w:tc>
      </w:tr>
      <w:tr w:rsidR="00E10DFA" w:rsidRPr="009C1BBA" w:rsidTr="00E10DFA">
        <w:trPr>
          <w:trHeight w:val="300"/>
        </w:trPr>
        <w:tc>
          <w:tcPr>
            <w:tcW w:w="1291" w:type="dxa"/>
            <w:gridSpan w:val="2"/>
            <w:tcBorders>
              <w:top w:val="nil"/>
              <w:bottom w:val="nil"/>
            </w:tcBorders>
            <w:shd w:val="clear" w:color="auto" w:fill="auto"/>
            <w:vAlign w:val="center"/>
            <w:hideMark/>
          </w:tcPr>
          <w:p w:rsidR="00E10DFA" w:rsidRPr="0075042A" w:rsidRDefault="00E10DFA" w:rsidP="00E10DFA">
            <w:pPr>
              <w:spacing w:after="0" w:line="240" w:lineRule="auto"/>
              <w:jc w:val="lef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Denemarken</w:t>
            </w:r>
          </w:p>
        </w:tc>
        <w:tc>
          <w:tcPr>
            <w:tcW w:w="906" w:type="dxa"/>
            <w:tcBorders>
              <w:top w:val="nil"/>
              <w:bottom w:val="nil"/>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0.6</w:t>
            </w:r>
          </w:p>
        </w:tc>
        <w:tc>
          <w:tcPr>
            <w:tcW w:w="1134" w:type="dxa"/>
            <w:tcBorders>
              <w:top w:val="nil"/>
              <w:bottom w:val="nil"/>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50%</w:t>
            </w:r>
          </w:p>
        </w:tc>
        <w:tc>
          <w:tcPr>
            <w:tcW w:w="1275" w:type="dxa"/>
            <w:tcBorders>
              <w:top w:val="nil"/>
              <w:bottom w:val="nil"/>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0.3</w:t>
            </w:r>
          </w:p>
        </w:tc>
      </w:tr>
      <w:tr w:rsidR="00E10DFA" w:rsidRPr="009C1BBA" w:rsidTr="00E10DFA">
        <w:trPr>
          <w:trHeight w:val="300"/>
        </w:trPr>
        <w:tc>
          <w:tcPr>
            <w:tcW w:w="1291" w:type="dxa"/>
            <w:gridSpan w:val="2"/>
            <w:tcBorders>
              <w:top w:val="nil"/>
              <w:bottom w:val="single" w:sz="4" w:space="0" w:color="auto"/>
            </w:tcBorders>
            <w:shd w:val="clear" w:color="auto" w:fill="auto"/>
            <w:vAlign w:val="center"/>
            <w:hideMark/>
          </w:tcPr>
          <w:p w:rsidR="00E10DFA" w:rsidRPr="0075042A" w:rsidRDefault="00E10DFA" w:rsidP="00E10DFA">
            <w:pPr>
              <w:spacing w:after="0" w:line="240" w:lineRule="auto"/>
              <w:jc w:val="lef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Oostenrijk</w:t>
            </w:r>
          </w:p>
        </w:tc>
        <w:tc>
          <w:tcPr>
            <w:tcW w:w="906" w:type="dxa"/>
            <w:tcBorders>
              <w:top w:val="nil"/>
              <w:bottom w:val="single" w:sz="4" w:space="0" w:color="auto"/>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0.3</w:t>
            </w:r>
          </w:p>
        </w:tc>
        <w:tc>
          <w:tcPr>
            <w:tcW w:w="1134" w:type="dxa"/>
            <w:tcBorders>
              <w:top w:val="nil"/>
              <w:bottom w:val="single" w:sz="4" w:space="0" w:color="auto"/>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50%</w:t>
            </w:r>
          </w:p>
        </w:tc>
        <w:tc>
          <w:tcPr>
            <w:tcW w:w="1275" w:type="dxa"/>
            <w:tcBorders>
              <w:top w:val="nil"/>
              <w:bottom w:val="single" w:sz="4" w:space="0" w:color="auto"/>
            </w:tcBorders>
            <w:shd w:val="clear" w:color="auto" w:fill="auto"/>
            <w:vAlign w:val="center"/>
            <w:hideMark/>
          </w:tcPr>
          <w:p w:rsidR="00E10DFA" w:rsidRPr="0075042A" w:rsidRDefault="00E10DFA" w:rsidP="00E10DFA">
            <w:pPr>
              <w:spacing w:after="0" w:line="240" w:lineRule="auto"/>
              <w:jc w:val="right"/>
              <w:rPr>
                <w:rFonts w:ascii="Calibri" w:eastAsia="Times New Roman" w:hAnsi="Calibri" w:cs="Times New Roman"/>
                <w:color w:val="000000"/>
                <w:sz w:val="18"/>
                <w:szCs w:val="18"/>
                <w:lang w:eastAsia="nl-NL"/>
              </w:rPr>
            </w:pPr>
            <w:r w:rsidRPr="0075042A">
              <w:rPr>
                <w:rFonts w:ascii="Calibri" w:eastAsia="Times New Roman" w:hAnsi="Calibri" w:cs="Times New Roman"/>
                <w:color w:val="000000"/>
                <w:sz w:val="18"/>
                <w:szCs w:val="18"/>
                <w:lang w:eastAsia="nl-NL"/>
              </w:rPr>
              <w:t>0.2</w:t>
            </w:r>
          </w:p>
        </w:tc>
      </w:tr>
      <w:tr w:rsidR="00E10DFA" w:rsidRPr="009C1BBA" w:rsidTr="00E10DFA">
        <w:trPr>
          <w:trHeight w:val="487"/>
        </w:trPr>
        <w:tc>
          <w:tcPr>
            <w:tcW w:w="1291" w:type="dxa"/>
            <w:gridSpan w:val="2"/>
            <w:tcBorders>
              <w:top w:val="single" w:sz="4" w:space="0" w:color="auto"/>
              <w:bottom w:val="single" w:sz="12" w:space="0" w:color="auto"/>
            </w:tcBorders>
            <w:shd w:val="clear" w:color="auto" w:fill="auto"/>
            <w:hideMark/>
          </w:tcPr>
          <w:p w:rsidR="00E10DFA" w:rsidRPr="0075042A" w:rsidRDefault="00E10DFA" w:rsidP="00E10DFA">
            <w:pPr>
              <w:spacing w:after="0" w:line="240" w:lineRule="auto"/>
              <w:jc w:val="left"/>
              <w:rPr>
                <w:rFonts w:ascii="Calibri" w:eastAsia="Times New Roman" w:hAnsi="Calibri" w:cs="Times New Roman"/>
                <w:b/>
                <w:color w:val="000000"/>
                <w:sz w:val="18"/>
                <w:szCs w:val="18"/>
                <w:lang w:eastAsia="nl-NL"/>
              </w:rPr>
            </w:pPr>
            <w:r w:rsidRPr="0075042A">
              <w:rPr>
                <w:rFonts w:ascii="Calibri" w:eastAsia="Times New Roman" w:hAnsi="Calibri" w:cs="Times New Roman"/>
                <w:b/>
                <w:color w:val="000000"/>
                <w:sz w:val="18"/>
                <w:szCs w:val="18"/>
                <w:lang w:eastAsia="nl-NL"/>
              </w:rPr>
              <w:t xml:space="preserve">Totaal      </w:t>
            </w:r>
            <w:r>
              <w:rPr>
                <w:rFonts w:ascii="Calibri" w:eastAsia="Times New Roman" w:hAnsi="Calibri" w:cs="Times New Roman"/>
                <w:b/>
                <w:color w:val="000000"/>
                <w:sz w:val="18"/>
                <w:szCs w:val="18"/>
                <w:lang w:eastAsia="nl-NL"/>
              </w:rPr>
              <w:t xml:space="preserve"> </w:t>
            </w:r>
            <w:r w:rsidRPr="0075042A">
              <w:rPr>
                <w:rFonts w:ascii="Calibri" w:eastAsia="Times New Roman" w:hAnsi="Calibri" w:cs="Times New Roman"/>
                <w:b/>
                <w:color w:val="000000"/>
                <w:sz w:val="18"/>
                <w:szCs w:val="18"/>
                <w:lang w:eastAsia="nl-NL"/>
              </w:rPr>
              <w:t>(miljoen)</w:t>
            </w:r>
          </w:p>
        </w:tc>
        <w:tc>
          <w:tcPr>
            <w:tcW w:w="906" w:type="dxa"/>
            <w:tcBorders>
              <w:top w:val="single" w:sz="4" w:space="0" w:color="auto"/>
              <w:bottom w:val="single" w:sz="12" w:space="0" w:color="auto"/>
            </w:tcBorders>
            <w:shd w:val="clear" w:color="auto" w:fill="auto"/>
            <w:hideMark/>
          </w:tcPr>
          <w:p w:rsidR="00E10DFA" w:rsidRPr="0075042A" w:rsidRDefault="00E10DFA" w:rsidP="00E10DFA">
            <w:pPr>
              <w:spacing w:after="0" w:line="240" w:lineRule="auto"/>
              <w:jc w:val="right"/>
              <w:rPr>
                <w:rFonts w:ascii="Calibri" w:eastAsia="Times New Roman" w:hAnsi="Calibri" w:cs="Times New Roman"/>
                <w:b/>
                <w:color w:val="000000"/>
                <w:sz w:val="18"/>
                <w:szCs w:val="18"/>
                <w:lang w:eastAsia="nl-NL"/>
              </w:rPr>
            </w:pPr>
            <w:r w:rsidRPr="0075042A">
              <w:rPr>
                <w:rFonts w:ascii="Calibri" w:eastAsia="Times New Roman" w:hAnsi="Calibri" w:cs="Times New Roman"/>
                <w:b/>
                <w:color w:val="000000"/>
                <w:sz w:val="18"/>
                <w:szCs w:val="18"/>
                <w:lang w:eastAsia="nl-NL"/>
              </w:rPr>
              <w:t>22.2</w:t>
            </w:r>
          </w:p>
        </w:tc>
        <w:tc>
          <w:tcPr>
            <w:tcW w:w="1134" w:type="dxa"/>
            <w:tcBorders>
              <w:top w:val="single" w:sz="4" w:space="0" w:color="auto"/>
              <w:bottom w:val="single" w:sz="12" w:space="0" w:color="auto"/>
            </w:tcBorders>
            <w:shd w:val="clear" w:color="auto" w:fill="auto"/>
            <w:hideMark/>
          </w:tcPr>
          <w:p w:rsidR="00E10DFA" w:rsidRPr="0075042A" w:rsidRDefault="00E10DFA" w:rsidP="00E10DFA">
            <w:pPr>
              <w:spacing w:after="0" w:line="240" w:lineRule="auto"/>
              <w:jc w:val="right"/>
              <w:rPr>
                <w:rFonts w:ascii="Calibri" w:eastAsia="Times New Roman" w:hAnsi="Calibri" w:cs="Times New Roman"/>
                <w:b/>
                <w:color w:val="000000"/>
                <w:sz w:val="18"/>
                <w:szCs w:val="18"/>
                <w:lang w:eastAsia="nl-NL"/>
              </w:rPr>
            </w:pPr>
            <w:r w:rsidRPr="0075042A">
              <w:rPr>
                <w:rFonts w:ascii="Calibri" w:eastAsia="Times New Roman" w:hAnsi="Calibri" w:cs="Times New Roman"/>
                <w:b/>
                <w:color w:val="000000"/>
                <w:sz w:val="18"/>
                <w:szCs w:val="18"/>
                <w:lang w:eastAsia="nl-NL"/>
              </w:rPr>
              <w:t>gemiddeld</w:t>
            </w:r>
          </w:p>
          <w:p w:rsidR="00E10DFA" w:rsidRPr="0075042A" w:rsidRDefault="00E10DFA" w:rsidP="00E10DFA">
            <w:pPr>
              <w:spacing w:after="0" w:line="240" w:lineRule="auto"/>
              <w:jc w:val="right"/>
              <w:rPr>
                <w:rFonts w:ascii="Calibri" w:eastAsia="Times New Roman" w:hAnsi="Calibri" w:cs="Times New Roman"/>
                <w:b/>
                <w:color w:val="000000"/>
                <w:sz w:val="18"/>
                <w:szCs w:val="18"/>
                <w:lang w:eastAsia="nl-NL"/>
              </w:rPr>
            </w:pPr>
            <w:r w:rsidRPr="0075042A">
              <w:rPr>
                <w:rFonts w:ascii="Calibri" w:eastAsia="Times New Roman" w:hAnsi="Calibri" w:cs="Times New Roman"/>
                <w:b/>
                <w:color w:val="000000"/>
                <w:sz w:val="18"/>
                <w:szCs w:val="18"/>
                <w:lang w:eastAsia="nl-NL"/>
              </w:rPr>
              <w:t xml:space="preserve">77 </w:t>
            </w:r>
          </w:p>
        </w:tc>
        <w:tc>
          <w:tcPr>
            <w:tcW w:w="1275" w:type="dxa"/>
            <w:tcBorders>
              <w:top w:val="single" w:sz="4" w:space="0" w:color="auto"/>
              <w:bottom w:val="single" w:sz="12" w:space="0" w:color="auto"/>
            </w:tcBorders>
            <w:shd w:val="clear" w:color="auto" w:fill="auto"/>
            <w:hideMark/>
          </w:tcPr>
          <w:p w:rsidR="00E10DFA" w:rsidRPr="0075042A" w:rsidRDefault="00E10DFA" w:rsidP="00E10DFA">
            <w:pPr>
              <w:spacing w:after="0" w:line="240" w:lineRule="auto"/>
              <w:jc w:val="right"/>
              <w:rPr>
                <w:rFonts w:ascii="Calibri" w:eastAsia="Times New Roman" w:hAnsi="Calibri" w:cs="Times New Roman"/>
                <w:b/>
                <w:color w:val="000000"/>
                <w:sz w:val="18"/>
                <w:szCs w:val="18"/>
                <w:lang w:eastAsia="nl-NL"/>
              </w:rPr>
            </w:pPr>
            <w:r w:rsidRPr="0075042A">
              <w:rPr>
                <w:rFonts w:ascii="Calibri" w:eastAsia="Times New Roman" w:hAnsi="Calibri" w:cs="Times New Roman"/>
                <w:b/>
                <w:color w:val="000000"/>
                <w:sz w:val="18"/>
                <w:szCs w:val="18"/>
                <w:lang w:eastAsia="nl-NL"/>
              </w:rPr>
              <w:t>16.5</w:t>
            </w:r>
          </w:p>
        </w:tc>
      </w:tr>
    </w:tbl>
    <w:p w:rsidR="008B38A2" w:rsidRDefault="008B38A2" w:rsidP="00E10DFA">
      <w:pPr>
        <w:spacing w:after="200"/>
        <w:rPr>
          <w:b/>
          <w:color w:val="7030A0"/>
        </w:rPr>
      </w:pPr>
    </w:p>
    <w:p w:rsidR="00E10DFA" w:rsidRDefault="00E10DFA" w:rsidP="00E10DFA">
      <w:pPr>
        <w:spacing w:after="200"/>
      </w:pPr>
      <w:r w:rsidRPr="00FE0107">
        <w:rPr>
          <w:b/>
          <w:color w:val="7030A0"/>
        </w:rPr>
        <w:t>Groei van hi-speed en zakelijk/maatschappelijk vervoer</w:t>
      </w:r>
      <w:r>
        <w:t>. Stel dat de economie een groeiende vraag vertoont naar zakelijk en maatschappelijk vervoer, hoe kunnen l</w:t>
      </w:r>
      <w:r w:rsidRPr="00B03945">
        <w:t>ucht</w:t>
      </w:r>
      <w:r>
        <w:softHyphen/>
      </w:r>
      <w:r w:rsidRPr="00B03945">
        <w:t xml:space="preserve">vaartmaatschappijen die bedienen </w:t>
      </w:r>
      <w:r>
        <w:t>als luchthavens niet meer kunnen groeien en slots (vluchtvergunningen) schaars zijn? Ze</w:t>
      </w:r>
      <w:r w:rsidRPr="002F7716">
        <w:t xml:space="preserve"> kunnen een groot deel van hun Europese passagiers met hogesnelheidstreinen vervoeren</w:t>
      </w:r>
      <w:r>
        <w:t xml:space="preserve"> en de</w:t>
      </w:r>
      <w:r w:rsidRPr="002F7716">
        <w:t xml:space="preserve"> vrijkomende luch</w:t>
      </w:r>
      <w:r w:rsidRPr="002F7716">
        <w:t>t</w:t>
      </w:r>
      <w:r w:rsidRPr="002F7716">
        <w:t xml:space="preserve">havencapaciteit </w:t>
      </w:r>
      <w:r>
        <w:t>inzetten</w:t>
      </w:r>
      <w:r w:rsidRPr="00D96E2F">
        <w:t xml:space="preserve"> </w:t>
      </w:r>
      <w:r w:rsidRPr="002F7716">
        <w:t xml:space="preserve">een groeiende vraag </w:t>
      </w:r>
      <w:r>
        <w:t>naar zakelijk en maatschappelijk verkeer op langere a</w:t>
      </w:r>
      <w:r>
        <w:t>f</w:t>
      </w:r>
      <w:r>
        <w:t>standen</w:t>
      </w:r>
      <w:r w:rsidRPr="002F7716">
        <w:t xml:space="preserve">. </w:t>
      </w:r>
      <w:r>
        <w:t>Daardoor</w:t>
      </w:r>
      <w:r w:rsidRPr="00233A4D">
        <w:t xml:space="preserve"> kan het Zakelijk/maatschappelijke segment o</w:t>
      </w:r>
      <w:r>
        <w:t>p EU luchthavens nog aanzienlijk groe</w:t>
      </w:r>
      <w:r>
        <w:t>i</w:t>
      </w:r>
      <w:r>
        <w:t xml:space="preserve">en. </w:t>
      </w:r>
      <w:r w:rsidRPr="00F961DC">
        <w:t xml:space="preserve">Er </w:t>
      </w:r>
      <w:r>
        <w:t>zal zich</w:t>
      </w:r>
      <w:r w:rsidRPr="00F961DC">
        <w:t xml:space="preserve"> n</w:t>
      </w:r>
      <w:r>
        <w:t>o</w:t>
      </w:r>
      <w:r w:rsidRPr="00F961DC">
        <w:t>g een g</w:t>
      </w:r>
      <w:r>
        <w:t xml:space="preserve">roeimogelijkheid voor dit segment voordoen als de luchtvaarttarieven hoger worden, bijvoorbeeld wegens toeslagen op broeikasgassen en verdubbelende olieprijzen </w:t>
      </w:r>
      <w:r w:rsidRPr="00F961DC">
        <w:t xml:space="preserve">(IMF, 2012). </w:t>
      </w:r>
      <w:r>
        <w:t xml:space="preserve">De vrijetijdsmarkt is prijsgevoeliger dan de zakelijke markt, dus zal de vraag naar lange vrijetijdsreizen afnemen of verschuiven naar alternatieve bestemmingen binnen Europa. </w:t>
      </w:r>
      <w:r w:rsidRPr="00106FDF">
        <w:t xml:space="preserve">Ondanks het beperkte aantal slots </w:t>
      </w:r>
      <w:r>
        <w:t xml:space="preserve">op luchthavens </w:t>
      </w:r>
      <w:r w:rsidRPr="00106FDF">
        <w:t>zal dit het zakelijk/ma</w:t>
      </w:r>
      <w:r>
        <w:t xml:space="preserve">atschappelijke segment de mogelijkheid bieden tot relatieve groei. </w:t>
      </w:r>
      <w:r w:rsidRPr="00106FDF">
        <w:t xml:space="preserve">Het luchtvaartnetwerk behoudt zijn omvang, maar </w:t>
      </w:r>
      <w:r>
        <w:t>er vindt een verschuiving plaats van vrijetijd</w:t>
      </w:r>
      <w:r>
        <w:t>s</w:t>
      </w:r>
      <w:r>
        <w:t>reizen</w:t>
      </w:r>
      <w:r w:rsidRPr="00106FDF">
        <w:t xml:space="preserve"> </w:t>
      </w:r>
      <w:r>
        <w:t xml:space="preserve">naar meer </w:t>
      </w:r>
      <w:r w:rsidRPr="00106FDF">
        <w:t>zakelijk</w:t>
      </w:r>
      <w:r>
        <w:t xml:space="preserve"> en </w:t>
      </w:r>
      <w:r w:rsidRPr="00106FDF">
        <w:t>ma</w:t>
      </w:r>
      <w:r>
        <w:t>atschappelijk vliegverkeer.</w:t>
      </w:r>
    </w:p>
    <w:p w:rsidR="00F4348E" w:rsidRPr="001168DF" w:rsidRDefault="00F4348E" w:rsidP="00BD7F61">
      <w:pPr>
        <w:spacing w:after="200"/>
      </w:pPr>
    </w:p>
    <w:p w:rsidR="009C5900" w:rsidRPr="00E10DFA" w:rsidRDefault="009C5900" w:rsidP="009F0A7B">
      <w:pPr>
        <w:spacing w:after="200"/>
        <w:jc w:val="left"/>
      </w:pPr>
    </w:p>
    <w:p w:rsidR="00837F7D" w:rsidRPr="007A2910" w:rsidRDefault="007453DE" w:rsidP="007A2910">
      <w:pPr>
        <w:pStyle w:val="Kop2"/>
        <w:rPr>
          <w:rFonts w:asciiTheme="majorHAnsi" w:hAnsiTheme="majorHAnsi"/>
          <w:sz w:val="32"/>
        </w:rPr>
      </w:pPr>
      <w:r w:rsidRPr="007453DE">
        <w:rPr>
          <w:noProof/>
          <w:lang w:eastAsia="nl-NL"/>
        </w:rPr>
        <w:lastRenderedPageBreak/>
        <w:pict>
          <v:shape id="_x0000_s1795" type="#_x0000_t32" style="position:absolute;margin-left:4.45pt;margin-top:19.15pt;width:178.6pt;height:0;z-index:252437504" o:connectortype="straight" o:regroupid="17" stroked="f"/>
        </w:pict>
      </w:r>
      <w:r w:rsidRPr="007453DE">
        <w:rPr>
          <w:noProof/>
          <w:lang w:eastAsia="nl-NL"/>
        </w:rPr>
        <w:pict>
          <v:shape id="_x0000_s1794" type="#_x0000_t32" style="position:absolute;margin-left:-256.9pt;margin-top:210.75pt;width:442.2pt;height:0;z-index:252436480" o:connectortype="straight" o:regroupid="17" stroked="f" strokeweight="1.5pt"/>
        </w:pict>
      </w:r>
      <w:bookmarkStart w:id="11" w:name="_Toc348854971"/>
      <w:bookmarkStart w:id="12" w:name="_Toc349748372"/>
      <w:r w:rsidR="00CC1C64" w:rsidRPr="00FB03B7">
        <w:t>5</w:t>
      </w:r>
      <w:r w:rsidR="00837F7D" w:rsidRPr="00FB03B7">
        <w:t xml:space="preserve">. </w:t>
      </w:r>
      <w:r w:rsidR="00FB03B7" w:rsidRPr="00FB03B7">
        <w:t>Groeistop</w:t>
      </w:r>
      <w:r w:rsidR="008F11CF">
        <w:t xml:space="preserve"> </w:t>
      </w:r>
      <w:r w:rsidR="00FB03B7" w:rsidRPr="00FB03B7">
        <w:t>op lucht</w:t>
      </w:r>
      <w:r w:rsidR="00FB03B7">
        <w:t>hav</w:t>
      </w:r>
      <w:r w:rsidR="00FB03B7" w:rsidRPr="00FB03B7">
        <w:t>ens van de EU</w:t>
      </w:r>
      <w:r w:rsidR="004524CE" w:rsidRPr="00FB03B7">
        <w:t xml:space="preserve">  </w:t>
      </w:r>
      <w:r w:rsidR="004524CE" w:rsidRPr="00FB03B7">
        <w:rPr>
          <w:color w:val="FFFFFF" w:themeColor="background1"/>
        </w:rPr>
        <w:t>.</w:t>
      </w:r>
      <w:bookmarkEnd w:id="11"/>
      <w:bookmarkEnd w:id="12"/>
    </w:p>
    <w:p w:rsidR="001B4BAD" w:rsidRPr="0065567C" w:rsidRDefault="007453DE" w:rsidP="00837F7D">
      <w:r>
        <w:rPr>
          <w:noProof/>
          <w:lang w:eastAsia="nl-NL"/>
        </w:rPr>
        <w:pict>
          <v:shape id="_x0000_s1810" type="#_x0000_t202" style="position:absolute;left:0;text-align:left;margin-left:223.65pt;margin-top:61.65pt;width:186.15pt;height:216.25pt;z-index:252268544;mso-width-relative:margin;mso-height-relative:margin" fillcolor="#effcff" stroked="f" strokecolor="#0070c0">
            <v:fill color2="#699cd9" rotate="t"/>
            <v:textbox style="mso-next-textbox:#_x0000_s1810">
              <w:txbxContent>
                <w:p w:rsidR="00396735" w:rsidRPr="008576BF" w:rsidRDefault="00396735" w:rsidP="00B73A6C">
                  <w:pPr>
                    <w:rPr>
                      <w:color w:val="0070C0"/>
                    </w:rPr>
                  </w:pPr>
                  <w:r w:rsidRPr="008576BF">
                    <w:rPr>
                      <w:color w:val="0070C0"/>
                    </w:rPr>
                    <w:t>In 2011 heeft de Britse regering besloten de luchthavens van Londen niet verder uit te breiden, hoofdzakelijk om milieu en klimaat te sparen. Binnenlandse vluchten moeten door hogesnelheidstreinen worden verva</w:t>
                  </w:r>
                  <w:r w:rsidRPr="008576BF">
                    <w:rPr>
                      <w:color w:val="0070C0"/>
                    </w:rPr>
                    <w:t>n</w:t>
                  </w:r>
                  <w:r w:rsidRPr="008576BF">
                    <w:rPr>
                      <w:color w:val="0070C0"/>
                    </w:rPr>
                    <w:t>gen. Een breekpunt in het politieke proces was de bevinding dat uitbreiding van luch</w:t>
                  </w:r>
                  <w:r w:rsidRPr="008576BF">
                    <w:rPr>
                      <w:color w:val="0070C0"/>
                    </w:rPr>
                    <w:t>t</w:t>
                  </w:r>
                  <w:r w:rsidRPr="008576BF">
                    <w:rPr>
                      <w:color w:val="0070C0"/>
                    </w:rPr>
                    <w:t>havens niet essentieel bleek te zijn voor een volgroeide economie, vanwege de vele alternatieven om nieuwe werkgelegenheid te scheppen (Boon, CE Delft 2008). In 2012 bleek er echter een sterke lobby van de luchtvaartsector te zijn om een nieuwe luchthaven in de Theemsmonding aan te leggen.</w:t>
                  </w:r>
                </w:p>
                <w:p w:rsidR="00396735" w:rsidRPr="00925045" w:rsidRDefault="00396735" w:rsidP="00B73A6C">
                  <w:pPr>
                    <w:rPr>
                      <w:color w:val="FFFFFF" w:themeColor="background1"/>
                    </w:rPr>
                  </w:pPr>
                </w:p>
                <w:p w:rsidR="00396735" w:rsidRPr="00925045" w:rsidRDefault="00396735" w:rsidP="00B73A6C"/>
              </w:txbxContent>
            </v:textbox>
            <w10:wrap type="square"/>
          </v:shape>
        </w:pict>
      </w:r>
      <w:r w:rsidR="001B4BAD" w:rsidRPr="008F11CF">
        <w:rPr>
          <w:b/>
          <w:color w:val="7030A0"/>
        </w:rPr>
        <w:t>Luchthavencapaciteit beperken</w:t>
      </w:r>
      <w:r w:rsidR="001B4BAD" w:rsidRPr="0065567C">
        <w:rPr>
          <w:b/>
        </w:rPr>
        <w:t xml:space="preserve">. </w:t>
      </w:r>
      <w:r w:rsidR="0065567C" w:rsidRPr="0065567C">
        <w:t xml:space="preserve">De EC </w:t>
      </w:r>
      <w:r w:rsidR="0065567C">
        <w:t xml:space="preserve">en de lidstaten van de EU </w:t>
      </w:r>
      <w:r w:rsidR="00CC63C0">
        <w:t xml:space="preserve">vervullen </w:t>
      </w:r>
      <w:r w:rsidR="009C49E4">
        <w:t xml:space="preserve">met hun luchthavenbeleid </w:t>
      </w:r>
      <w:r w:rsidR="00CC63C0">
        <w:t>een</w:t>
      </w:r>
      <w:r w:rsidR="0065567C">
        <w:t xml:space="preserve"> sleutelrol in het beheersen van de luchtvaartgroei. De Europese luchtvaart is een van de grootste ter wereld. </w:t>
      </w:r>
      <w:r w:rsidR="007E61B8">
        <w:t xml:space="preserve">Als </w:t>
      </w:r>
      <w:r w:rsidR="000E2C4F">
        <w:t xml:space="preserve">niet meer </w:t>
      </w:r>
      <w:r w:rsidR="0065567C">
        <w:t xml:space="preserve">in </w:t>
      </w:r>
      <w:r w:rsidR="007D2C6A">
        <w:t>uitbreiding van</w:t>
      </w:r>
      <w:r w:rsidR="0065567C">
        <w:t xml:space="preserve"> luchthavens en startbanen </w:t>
      </w:r>
      <w:r w:rsidR="007E61B8">
        <w:t>wordt geïnvesteerd</w:t>
      </w:r>
      <w:r w:rsidR="007A2910">
        <w:t>,</w:t>
      </w:r>
      <w:r w:rsidR="007E61B8">
        <w:t xml:space="preserve"> </w:t>
      </w:r>
      <w:r w:rsidR="007D2C6A">
        <w:t>kan de EU luchtvaart haar</w:t>
      </w:r>
      <w:r w:rsidR="0065567C">
        <w:t xml:space="preserve"> opwarmingseffecten </w:t>
      </w:r>
      <w:r w:rsidR="007D2C6A">
        <w:t>binnen de perken houden</w:t>
      </w:r>
      <w:r w:rsidR="0065567C">
        <w:t>.</w:t>
      </w:r>
    </w:p>
    <w:p w:rsidR="00693A68" w:rsidRDefault="00876FD4" w:rsidP="00837F7D">
      <w:r>
        <w:t xml:space="preserve">Door een verschuiving van niet-duurzame luchtvaart </w:t>
      </w:r>
      <w:r w:rsidR="00500E87">
        <w:t>binnen Europa (17 keer zoveel opwarming, zie hoof</w:t>
      </w:r>
      <w:r w:rsidR="00500E87">
        <w:t>d</w:t>
      </w:r>
      <w:r w:rsidR="00500E87">
        <w:t xml:space="preserve">stuk 3) </w:t>
      </w:r>
      <w:r>
        <w:t>naar duurzame hogesnelheidstreinen</w:t>
      </w:r>
      <w:r w:rsidR="0094701E">
        <w:t>,</w:t>
      </w:r>
      <w:r>
        <w:t xml:space="preserve"> kan het internationale vervoer </w:t>
      </w:r>
      <w:r w:rsidR="00500E87">
        <w:t xml:space="preserve">aanzienlijk </w:t>
      </w:r>
      <w:r>
        <w:t xml:space="preserve">duurzamer worden. </w:t>
      </w:r>
      <w:r w:rsidR="008C534D">
        <w:t xml:space="preserve">De </w:t>
      </w:r>
      <w:r w:rsidR="00693A68">
        <w:t>E</w:t>
      </w:r>
      <w:r w:rsidR="009E3A7D">
        <w:t>C</w:t>
      </w:r>
      <w:r w:rsidR="00693A68">
        <w:t xml:space="preserve"> en lidstaten </w:t>
      </w:r>
      <w:r w:rsidR="008C534D">
        <w:t xml:space="preserve">moeten dan </w:t>
      </w:r>
      <w:r w:rsidR="00693A68">
        <w:t>de politiek</w:t>
      </w:r>
      <w:r w:rsidR="009E3A7D">
        <w:t>e</w:t>
      </w:r>
      <w:r w:rsidR="00693A68">
        <w:t xml:space="preserve"> wil o</w:t>
      </w:r>
      <w:r w:rsidR="00693A68">
        <w:t>p</w:t>
      </w:r>
      <w:r w:rsidR="00693A68">
        <w:t xml:space="preserve">brengen </w:t>
      </w:r>
      <w:r w:rsidR="008C534D">
        <w:t xml:space="preserve">om de </w:t>
      </w:r>
      <w:r w:rsidR="00334506">
        <w:t xml:space="preserve">groei van </w:t>
      </w:r>
      <w:r w:rsidR="009E3A7D">
        <w:t>luchtvaart</w:t>
      </w:r>
      <w:r w:rsidR="00334506">
        <w:t xml:space="preserve"> en de bijbehore</w:t>
      </w:r>
      <w:r w:rsidR="00334506">
        <w:t>n</w:t>
      </w:r>
      <w:r w:rsidR="00334506">
        <w:t>de opwarming</w:t>
      </w:r>
      <w:r w:rsidR="008C534D">
        <w:t xml:space="preserve"> te beperken</w:t>
      </w:r>
      <w:r w:rsidR="009E3A7D">
        <w:t>. De meeste hu</w:t>
      </w:r>
      <w:r w:rsidR="00FF4031">
        <w:t>b</w:t>
      </w:r>
      <w:r w:rsidR="009E3A7D">
        <w:t>s in de EU zijn momenteel aan de gren</w:t>
      </w:r>
      <w:r w:rsidR="00FF4031">
        <w:t>zen</w:t>
      </w:r>
      <w:r w:rsidR="009E3A7D">
        <w:t xml:space="preserve"> van hun startbaan- en luchtruimcapaciteit. </w:t>
      </w:r>
      <w:r w:rsidR="009E3A7D" w:rsidRPr="009E3A7D">
        <w:t xml:space="preserve">De EC en lidstaten zouden </w:t>
      </w:r>
      <w:r w:rsidR="00883A0B">
        <w:t>voorg</w:t>
      </w:r>
      <w:r w:rsidR="00883A0B">
        <w:t>e</w:t>
      </w:r>
      <w:r w:rsidR="00883A0B">
        <w:t xml:space="preserve">nomen </w:t>
      </w:r>
      <w:r w:rsidR="009E3A7D">
        <w:t>uitbreiding</w:t>
      </w:r>
      <w:r w:rsidR="00883A0B">
        <w:t>en</w:t>
      </w:r>
      <w:r w:rsidR="009E3A7D">
        <w:t xml:space="preserve"> van luchtvaartfaciliteiten</w:t>
      </w:r>
      <w:r w:rsidR="00FF4031">
        <w:t xml:space="preserve"> kritisch onder de loep moeten nemen</w:t>
      </w:r>
      <w:r w:rsidR="009E3A7D">
        <w:t xml:space="preserve">, met </w:t>
      </w:r>
      <w:r w:rsidR="00334506">
        <w:t>het inzicht</w:t>
      </w:r>
      <w:r w:rsidR="009E3A7D">
        <w:t xml:space="preserve"> dat elke uitbreiding meer opwarming met zich meebrengt en dat de economische voordelen in de meeste gevallen beperkt zijn van</w:t>
      </w:r>
      <w:r w:rsidR="00FF4031">
        <w:t xml:space="preserve">wege de </w:t>
      </w:r>
      <w:r w:rsidR="009E3A7D">
        <w:t>alternatieve</w:t>
      </w:r>
      <w:r w:rsidR="007A2910">
        <w:t xml:space="preserve"> groeimogelijkh</w:t>
      </w:r>
      <w:r w:rsidR="007A2910">
        <w:t>e</w:t>
      </w:r>
      <w:r w:rsidR="007A2910">
        <w:t>de</w:t>
      </w:r>
      <w:r w:rsidR="009E3A7D">
        <w:t>n</w:t>
      </w:r>
      <w:r w:rsidR="00FF4031">
        <w:t xml:space="preserve"> voor het economisch en maatschappe</w:t>
      </w:r>
      <w:r w:rsidR="00883A0B">
        <w:t xml:space="preserve">lijk </w:t>
      </w:r>
      <w:r w:rsidR="00FF4031">
        <w:t>belan</w:t>
      </w:r>
      <w:r w:rsidR="00FF4031">
        <w:t>g</w:t>
      </w:r>
      <w:r w:rsidR="00FF4031">
        <w:t>rijke vervoer</w:t>
      </w:r>
      <w:r w:rsidR="009E3A7D">
        <w:t xml:space="preserve">. </w:t>
      </w:r>
    </w:p>
    <w:p w:rsidR="00704AFD" w:rsidRPr="008F11CF" w:rsidRDefault="005C356D" w:rsidP="00837F7D">
      <w:pPr>
        <w:rPr>
          <w:b/>
          <w:color w:val="7030A0"/>
        </w:rPr>
      </w:pPr>
      <w:r w:rsidRPr="008F11CF">
        <w:rPr>
          <w:b/>
          <w:color w:val="7030A0"/>
        </w:rPr>
        <w:t xml:space="preserve">Aanbevolen stappen </w:t>
      </w:r>
    </w:p>
    <w:p w:rsidR="00704AFD" w:rsidRDefault="005C356D" w:rsidP="005C356D">
      <w:pPr>
        <w:pStyle w:val="Lijstalinea"/>
        <w:numPr>
          <w:ilvl w:val="0"/>
          <w:numId w:val="15"/>
        </w:numPr>
      </w:pPr>
      <w:r>
        <w:t xml:space="preserve">Informeer ICAO en de mondiale luchtvaartindustrie over het twijfelachtige karakter van hun </w:t>
      </w:r>
      <w:r w:rsidR="00883A0B">
        <w:t xml:space="preserve">huidige </w:t>
      </w:r>
      <w:r w:rsidR="00583E83">
        <w:t>plannen</w:t>
      </w:r>
      <w:r>
        <w:t xml:space="preserve"> om de uitstoot te beperken. Eis effectieve maatregelen (inclusief groeibeperking) die </w:t>
      </w:r>
      <w:r w:rsidR="000436A3">
        <w:t xml:space="preserve">de broeikasgasemissie van luchtvaart </w:t>
      </w:r>
      <w:r>
        <w:t>daadwerkelijk in de komende decennia z</w:t>
      </w:r>
      <w:r w:rsidR="000436A3">
        <w:t>ullen</w:t>
      </w:r>
      <w:r>
        <w:t xml:space="preserve"> verminderen.</w:t>
      </w:r>
    </w:p>
    <w:p w:rsidR="000436A3" w:rsidRDefault="000436A3" w:rsidP="005C356D">
      <w:pPr>
        <w:pStyle w:val="Lijstalinea"/>
        <w:numPr>
          <w:ilvl w:val="0"/>
          <w:numId w:val="15"/>
        </w:numPr>
      </w:pPr>
      <w:r>
        <w:t>Neem een belangrijke prikkel voor luchtvaartgroei weg door af te zien van de uitbreiding van star</w:t>
      </w:r>
      <w:r>
        <w:t>t</w:t>
      </w:r>
      <w:r>
        <w:t xml:space="preserve">baancapaciteit op luchthavens die aan hun grens zijn. In de maatschappelijke </w:t>
      </w:r>
      <w:proofErr w:type="spellStart"/>
      <w:r>
        <w:t>kosten</w:t>
      </w:r>
      <w:r w:rsidR="007A2910">
        <w:softHyphen/>
      </w:r>
      <w:proofErr w:type="spellEnd"/>
      <w:r w:rsidR="007A2910">
        <w:softHyphen/>
      </w:r>
      <w:r>
        <w:t>/baten</w:t>
      </w:r>
      <w:r w:rsidR="007A2910">
        <w:softHyphen/>
      </w:r>
      <w:r>
        <w:t>afweging</w:t>
      </w:r>
      <w:r w:rsidR="00833268">
        <w:t>en</w:t>
      </w:r>
      <w:r>
        <w:t xml:space="preserve"> van </w:t>
      </w:r>
      <w:r w:rsidR="00883A0B">
        <w:t xml:space="preserve">voorliggende </w:t>
      </w:r>
      <w:r>
        <w:t xml:space="preserve"> uitbreidingen dienen </w:t>
      </w:r>
      <w:r w:rsidR="00833268">
        <w:t>alsnog</w:t>
      </w:r>
      <w:r>
        <w:t xml:space="preserve"> de extra opwarmende effecten </w:t>
      </w:r>
      <w:r w:rsidR="006B150E">
        <w:t xml:space="preserve">van de extra aan te trekken luchtvaart </w:t>
      </w:r>
      <w:r>
        <w:t xml:space="preserve">te worden </w:t>
      </w:r>
      <w:r w:rsidR="006B150E">
        <w:t>mee</w:t>
      </w:r>
      <w:r>
        <w:t>genomen</w:t>
      </w:r>
      <w:r w:rsidR="006B150E">
        <w:t>.</w:t>
      </w:r>
    </w:p>
    <w:p w:rsidR="001335A5" w:rsidRDefault="006B150E" w:rsidP="001335A5">
      <w:pPr>
        <w:pStyle w:val="Lijstalinea"/>
        <w:numPr>
          <w:ilvl w:val="0"/>
          <w:numId w:val="15"/>
        </w:numPr>
      </w:pPr>
      <w:r>
        <w:t>Investeer op korte termijn in hispeed-netwerken en de ondersteunende treinverbindingen, die met slechts geringe klimaatgevolgen kunnen groeien. Stimuleer een betere integratie van luchtvaar</w:t>
      </w:r>
      <w:r>
        <w:t>t</w:t>
      </w:r>
      <w:r>
        <w:t>netwerken met hispeed-netwerken. Een voorbeeld is het Belgisch/Nederlandse Air/Railticket sy</w:t>
      </w:r>
      <w:r>
        <w:t>s</w:t>
      </w:r>
      <w:r>
        <w:t xml:space="preserve">teem. </w:t>
      </w:r>
      <w:r w:rsidR="00FC403D">
        <w:t xml:space="preserve">Spoor het publiek aan bij voorkeur gebruik te maken van hogesnelheidstreinen die </w:t>
      </w:r>
      <w:r w:rsidR="00833268">
        <w:t>aanzie</w:t>
      </w:r>
      <w:r w:rsidR="00833268">
        <w:t>n</w:t>
      </w:r>
      <w:r w:rsidR="00833268">
        <w:t>lijk</w:t>
      </w:r>
      <w:r w:rsidR="00FC403D">
        <w:t xml:space="preserve"> vriendelijker voor het klimaat zijn dan vliegtuigen. Schep wat betreft tarieven een gelijk spee</w:t>
      </w:r>
      <w:r w:rsidR="00FC403D">
        <w:t>l</w:t>
      </w:r>
      <w:r w:rsidR="00FC403D">
        <w:t xml:space="preserve">veld tussen </w:t>
      </w:r>
      <w:r w:rsidR="00833268">
        <w:t>hogesnelheidstrein-</w:t>
      </w:r>
      <w:r w:rsidR="00FC403D">
        <w:t xml:space="preserve"> en luchtreizen binnen Europa.</w:t>
      </w:r>
      <w:r w:rsidR="00B86849">
        <w:t xml:space="preserve"> In </w:t>
      </w:r>
      <w:r w:rsidR="00834F7F">
        <w:t>april</w:t>
      </w:r>
      <w:r w:rsidR="00B86849">
        <w:t xml:space="preserve"> 2013 </w:t>
      </w:r>
      <w:r w:rsidR="00834F7F">
        <w:t>heeft</w:t>
      </w:r>
      <w:r w:rsidR="00B86849">
        <w:t xml:space="preserve"> SNCF </w:t>
      </w:r>
      <w:r w:rsidR="00834F7F">
        <w:t xml:space="preserve">de </w:t>
      </w:r>
      <w:proofErr w:type="spellStart"/>
      <w:r w:rsidR="00834F7F">
        <w:t>lowcost-trein</w:t>
      </w:r>
      <w:proofErr w:type="spellEnd"/>
      <w:r w:rsidR="00834F7F">
        <w:t xml:space="preserve"> </w:t>
      </w:r>
      <w:proofErr w:type="spellStart"/>
      <w:r w:rsidR="00834F7F">
        <w:t>Ouigo</w:t>
      </w:r>
      <w:proofErr w:type="spellEnd"/>
      <w:r w:rsidR="00834F7F">
        <w:t xml:space="preserve"> geïntroduceerd </w:t>
      </w:r>
      <w:r w:rsidR="007A2910">
        <w:t>die met budgetluchtvaartmaatschappijen de prijsconcurrentie aangaat.</w:t>
      </w:r>
      <w:r w:rsidR="00B86849">
        <w:t xml:space="preserve">. </w:t>
      </w:r>
    </w:p>
    <w:p w:rsidR="001335A5" w:rsidRPr="001335A5" w:rsidRDefault="00397294" w:rsidP="001335A5">
      <w:pPr>
        <w:pStyle w:val="Lijstalinea"/>
        <w:numPr>
          <w:ilvl w:val="0"/>
          <w:numId w:val="15"/>
        </w:numPr>
      </w:pPr>
      <w:r>
        <w:t>Voer</w:t>
      </w:r>
      <w:r w:rsidR="00FC403D">
        <w:t xml:space="preserve"> caps </w:t>
      </w:r>
      <w:r>
        <w:t xml:space="preserve">(maximum aantal vluchten per jaar) </w:t>
      </w:r>
      <w:r w:rsidR="00FC403D">
        <w:t xml:space="preserve"> </w:t>
      </w:r>
      <w:r>
        <w:t>en slotmanagement (start- en landingsvergunni</w:t>
      </w:r>
      <w:r>
        <w:t>n</w:t>
      </w:r>
      <w:r>
        <w:t>gen) in op alle commerciële internationale luchthaven</w:t>
      </w:r>
      <w:r w:rsidR="00833268">
        <w:t>s</w:t>
      </w:r>
      <w:r>
        <w:t xml:space="preserve"> in </w:t>
      </w:r>
      <w:r w:rsidR="00833268">
        <w:t xml:space="preserve">EU </w:t>
      </w:r>
      <w:r>
        <w:t>lidstaten, of ze nu wel of niet hun c</w:t>
      </w:r>
      <w:r>
        <w:t>a</w:t>
      </w:r>
      <w:r>
        <w:t xml:space="preserve">paciteitsgrenzen hebben bereikt. Met caps wordt voorkomen dat </w:t>
      </w:r>
      <w:r w:rsidR="009A19BA">
        <w:t xml:space="preserve">de nog niet volledig </w:t>
      </w:r>
      <w:r>
        <w:t xml:space="preserve">bezette luchthavens het luchtverkeer gaan aantrekken dat niet </w:t>
      </w:r>
      <w:r w:rsidR="009A19BA">
        <w:t xml:space="preserve">meer </w:t>
      </w:r>
      <w:r>
        <w:t>op vol bezette luchthavens terecht kan</w:t>
      </w:r>
      <w:r w:rsidR="00A7146D">
        <w:t>. Het invoeren</w:t>
      </w:r>
      <w:r w:rsidR="009A19BA">
        <w:t xml:space="preserve"> van caps zal positieve effecten hebben op de duurzaamheid van het internation</w:t>
      </w:r>
      <w:r w:rsidR="009A19BA">
        <w:t>a</w:t>
      </w:r>
      <w:r w:rsidR="009A19BA">
        <w:t xml:space="preserve">le EU-vervoer:  </w:t>
      </w:r>
    </w:p>
    <w:p w:rsidR="00A86DC6" w:rsidRDefault="00A86DC6" w:rsidP="001335A5">
      <w:pPr>
        <w:pStyle w:val="Lijstalinea"/>
        <w:numPr>
          <w:ilvl w:val="0"/>
          <w:numId w:val="13"/>
        </w:numPr>
        <w:spacing w:after="200"/>
      </w:pPr>
      <w:r>
        <w:t xml:space="preserve">Caps op alle </w:t>
      </w:r>
      <w:r w:rsidR="00583E83">
        <w:t>concurrerende luchthavens scheppen</w:t>
      </w:r>
      <w:r>
        <w:t xml:space="preserve"> een gelijk speelveld.</w:t>
      </w:r>
    </w:p>
    <w:p w:rsidR="001335A5" w:rsidRDefault="001335A5" w:rsidP="001335A5">
      <w:pPr>
        <w:pStyle w:val="Lijstalinea"/>
        <w:numPr>
          <w:ilvl w:val="0"/>
          <w:numId w:val="13"/>
        </w:numPr>
        <w:spacing w:after="200"/>
      </w:pPr>
      <w:r w:rsidRPr="001335A5">
        <w:t>Slotschaarste kan leiden tot hogere tarieven die luchtvaartmaatschappijen in staat stellen hun marges te verbeteren en hun marketing</w:t>
      </w:r>
      <w:r w:rsidR="00583E83">
        <w:t xml:space="preserve"> en kwaliteitsmanagement </w:t>
      </w:r>
      <w:r w:rsidRPr="001335A5">
        <w:t>te richte</w:t>
      </w:r>
      <w:r>
        <w:t>n op het minder prijsgevoelige zakelijk/maatschappelijke segment.</w:t>
      </w:r>
    </w:p>
    <w:p w:rsidR="001335A5" w:rsidRPr="00195B0B" w:rsidRDefault="00A86DC6" w:rsidP="001335A5">
      <w:pPr>
        <w:pStyle w:val="Lijstalinea"/>
        <w:numPr>
          <w:ilvl w:val="0"/>
          <w:numId w:val="13"/>
        </w:numPr>
        <w:spacing w:after="200"/>
      </w:pPr>
      <w:r w:rsidRPr="00A86DC6">
        <w:t>Luchtvaartmaatschappijen zullen</w:t>
      </w:r>
      <w:r w:rsidR="00A7146D">
        <w:t xml:space="preserve"> vanwege de slotschaarste bereid zijn hun EU vluchten door hi-speed verkeer te vervangen</w:t>
      </w:r>
      <w:r>
        <w:t xml:space="preserve">. </w:t>
      </w:r>
      <w:r w:rsidR="001335A5" w:rsidRPr="00A86DC6">
        <w:t xml:space="preserve"> </w:t>
      </w:r>
    </w:p>
    <w:p w:rsidR="001E79E4" w:rsidRPr="001E79E4" w:rsidRDefault="007453DE" w:rsidP="001E79E4">
      <w:pPr>
        <w:pStyle w:val="Lijstalinea"/>
        <w:numPr>
          <w:ilvl w:val="0"/>
          <w:numId w:val="15"/>
        </w:numPr>
      </w:pPr>
      <w:r>
        <w:rPr>
          <w:noProof/>
          <w:lang w:eastAsia="nl-NL"/>
        </w:rPr>
        <w:pict>
          <v:rect id="_x0000_s214443" style="position:absolute;left:0;text-align:left;margin-left:396.15pt;margin-top:20.55pt;width:5.65pt;height:7.1pt;z-index:252609536"/>
        </w:pict>
      </w:r>
      <w:r w:rsidR="00A86DC6" w:rsidRPr="00A86DC6">
        <w:t xml:space="preserve">Stimuleer </w:t>
      </w:r>
      <w:r w:rsidR="00A7146D">
        <w:t>het publiek</w:t>
      </w:r>
      <w:r w:rsidR="00A86DC6" w:rsidRPr="00A86DC6">
        <w:t xml:space="preserve"> </w:t>
      </w:r>
      <w:r w:rsidR="009A19BA">
        <w:t>om</w:t>
      </w:r>
      <w:r w:rsidR="00A86DC6">
        <w:t xml:space="preserve"> </w:t>
      </w:r>
      <w:r w:rsidR="00A7146D">
        <w:t xml:space="preserve">meer gebruik te maken van video </w:t>
      </w:r>
      <w:proofErr w:type="spellStart"/>
      <w:r w:rsidR="00A7146D">
        <w:t>conferencing</w:t>
      </w:r>
      <w:proofErr w:type="spellEnd"/>
      <w:r w:rsidR="00A7146D">
        <w:t xml:space="preserve"> en af te zien van vluchten die nauwelijks aan de economie en samenleving bijdragen</w:t>
      </w:r>
      <w:r w:rsidR="003C261F">
        <w:t xml:space="preserve">. </w:t>
      </w:r>
    </w:p>
    <w:p w:rsidR="00413086" w:rsidRPr="006E2BCC" w:rsidRDefault="00413086" w:rsidP="00C96C6A">
      <w:pPr>
        <w:pBdr>
          <w:top w:val="single" w:sz="4" w:space="1" w:color="auto"/>
          <w:left w:val="single" w:sz="4" w:space="4" w:color="auto"/>
          <w:bottom w:val="single" w:sz="4" w:space="1" w:color="auto"/>
          <w:right w:val="single" w:sz="4" w:space="4" w:color="auto"/>
        </w:pBdr>
        <w:spacing w:after="200"/>
        <w:sectPr w:rsidR="00413086" w:rsidRPr="006E2BCC" w:rsidSect="00656C14">
          <w:headerReference w:type="default" r:id="rId19"/>
          <w:footerReference w:type="default" r:id="rId20"/>
          <w:pgSz w:w="11906" w:h="16838"/>
          <w:pgMar w:top="1418" w:right="1700" w:bottom="709" w:left="2127" w:header="708" w:footer="277" w:gutter="0"/>
          <w:pgNumType w:start="0"/>
          <w:cols w:space="708"/>
          <w:docGrid w:linePitch="360"/>
        </w:sectPr>
      </w:pPr>
    </w:p>
    <w:p w:rsidR="00214446" w:rsidRPr="003F20CB" w:rsidRDefault="00C9147A" w:rsidP="00D35DEB">
      <w:pPr>
        <w:pStyle w:val="Kop2"/>
        <w:rPr>
          <w:lang w:val="en-US"/>
        </w:rPr>
      </w:pPr>
      <w:bookmarkStart w:id="13" w:name="_Toc348854980"/>
      <w:bookmarkStart w:id="14" w:name="_Toc349748373"/>
      <w:proofErr w:type="spellStart"/>
      <w:r>
        <w:rPr>
          <w:lang w:val="en-US"/>
        </w:rPr>
        <w:lastRenderedPageBreak/>
        <w:t>Bronnen</w:t>
      </w:r>
      <w:proofErr w:type="spellEnd"/>
      <w:r w:rsidR="00836ED1" w:rsidRPr="00830EE4">
        <w:rPr>
          <w:lang w:val="en-US"/>
        </w:rPr>
        <w:t xml:space="preserve">  </w:t>
      </w:r>
      <w:r w:rsidR="00836ED1" w:rsidRPr="00830EE4">
        <w:rPr>
          <w:color w:val="FFFFFF" w:themeColor="background1"/>
          <w:lang w:val="en-US"/>
        </w:rPr>
        <w:t>.</w:t>
      </w:r>
      <w:bookmarkEnd w:id="13"/>
      <w:bookmarkEnd w:id="14"/>
    </w:p>
    <w:p w:rsidR="00537BFF" w:rsidRPr="007563E3" w:rsidRDefault="00C623B2" w:rsidP="00634E39">
      <w:pPr>
        <w:autoSpaceDE w:val="0"/>
        <w:autoSpaceDN w:val="0"/>
        <w:adjustRightInd w:val="0"/>
        <w:spacing w:line="240" w:lineRule="auto"/>
        <w:jc w:val="left"/>
        <w:rPr>
          <w:rFonts w:cs="Helvetica"/>
          <w:sz w:val="16"/>
          <w:szCs w:val="16"/>
        </w:rPr>
      </w:pPr>
      <w:r w:rsidRPr="007563E3">
        <w:rPr>
          <w:sz w:val="16"/>
          <w:szCs w:val="16"/>
          <w:lang w:val="en-US"/>
        </w:rPr>
        <w:t>A</w:t>
      </w:r>
      <w:r w:rsidR="00A456F8" w:rsidRPr="007563E3">
        <w:rPr>
          <w:sz w:val="16"/>
          <w:szCs w:val="16"/>
          <w:lang w:val="en-US"/>
        </w:rPr>
        <w:t>CARE</w:t>
      </w:r>
      <w:r w:rsidRPr="007563E3">
        <w:rPr>
          <w:sz w:val="16"/>
          <w:szCs w:val="16"/>
          <w:lang w:val="en-US"/>
        </w:rPr>
        <w:t xml:space="preserve">, Advisory Council for Aviation </w:t>
      </w:r>
      <w:proofErr w:type="spellStart"/>
      <w:r w:rsidRPr="007563E3">
        <w:rPr>
          <w:sz w:val="16"/>
          <w:szCs w:val="16"/>
          <w:lang w:val="en-US"/>
        </w:rPr>
        <w:t>Resarch</w:t>
      </w:r>
      <w:proofErr w:type="spellEnd"/>
      <w:r w:rsidRPr="007563E3">
        <w:rPr>
          <w:sz w:val="16"/>
          <w:szCs w:val="16"/>
          <w:lang w:val="en-US"/>
        </w:rPr>
        <w:t xml:space="preserve"> and Innovation in Europe</w:t>
      </w:r>
      <w:r w:rsidR="00B51712" w:rsidRPr="007563E3">
        <w:rPr>
          <w:sz w:val="16"/>
          <w:szCs w:val="16"/>
          <w:lang w:val="en-US"/>
        </w:rPr>
        <w:t xml:space="preserve"> (2012)</w:t>
      </w:r>
      <w:r w:rsidR="00C35DAE" w:rsidRPr="007563E3">
        <w:rPr>
          <w:sz w:val="16"/>
          <w:szCs w:val="16"/>
          <w:lang w:val="en-US"/>
        </w:rPr>
        <w:t>.</w:t>
      </w:r>
      <w:r w:rsidRPr="007563E3">
        <w:rPr>
          <w:sz w:val="16"/>
          <w:szCs w:val="16"/>
          <w:lang w:val="en-US"/>
        </w:rPr>
        <w:t xml:space="preserve"> </w:t>
      </w:r>
      <w:hyperlink r:id="rId21" w:history="1">
        <w:r w:rsidRPr="007563E3">
          <w:rPr>
            <w:rStyle w:val="Hyperlink"/>
            <w:sz w:val="16"/>
            <w:szCs w:val="16"/>
          </w:rPr>
          <w:t>http://www.acare4europe.org/</w:t>
        </w:r>
      </w:hyperlink>
      <w:r w:rsidR="00537BFF" w:rsidRPr="007563E3">
        <w:rPr>
          <w:rFonts w:cs="Helvetica"/>
          <w:sz w:val="16"/>
          <w:szCs w:val="16"/>
        </w:rPr>
        <w:t xml:space="preserve"> </w:t>
      </w:r>
    </w:p>
    <w:p w:rsidR="004D20DC" w:rsidRPr="007563E3" w:rsidRDefault="00214446" w:rsidP="00634E39">
      <w:pPr>
        <w:spacing w:line="240" w:lineRule="auto"/>
        <w:jc w:val="left"/>
        <w:rPr>
          <w:sz w:val="16"/>
          <w:szCs w:val="16"/>
          <w:lang w:val="en-GB"/>
        </w:rPr>
      </w:pPr>
      <w:r w:rsidRPr="007563E3">
        <w:rPr>
          <w:sz w:val="16"/>
          <w:szCs w:val="16"/>
        </w:rPr>
        <w:t xml:space="preserve">Boon, Bart; Marc </w:t>
      </w:r>
      <w:proofErr w:type="spellStart"/>
      <w:r w:rsidRPr="007563E3">
        <w:rPr>
          <w:sz w:val="16"/>
          <w:szCs w:val="16"/>
        </w:rPr>
        <w:t>Davidson</w:t>
      </w:r>
      <w:proofErr w:type="spellEnd"/>
      <w:r w:rsidRPr="007563E3">
        <w:rPr>
          <w:sz w:val="16"/>
          <w:szCs w:val="16"/>
        </w:rPr>
        <w:t xml:space="preserve">, Jasper Faber, </w:t>
      </w:r>
      <w:proofErr w:type="spellStart"/>
      <w:r w:rsidRPr="007563E3">
        <w:rPr>
          <w:sz w:val="16"/>
          <w:szCs w:val="16"/>
        </w:rPr>
        <w:t>Dagmar</w:t>
      </w:r>
      <w:proofErr w:type="spellEnd"/>
      <w:r w:rsidRPr="007563E3">
        <w:rPr>
          <w:sz w:val="16"/>
          <w:szCs w:val="16"/>
        </w:rPr>
        <w:t xml:space="preserve"> </w:t>
      </w:r>
      <w:proofErr w:type="spellStart"/>
      <w:r w:rsidRPr="007563E3">
        <w:rPr>
          <w:sz w:val="16"/>
          <w:szCs w:val="16"/>
        </w:rPr>
        <w:t>Nelissen</w:t>
      </w:r>
      <w:proofErr w:type="spellEnd"/>
      <w:r w:rsidRPr="007563E3">
        <w:rPr>
          <w:sz w:val="16"/>
          <w:szCs w:val="16"/>
        </w:rPr>
        <w:t xml:space="preserve">, </w:t>
      </w:r>
      <w:proofErr w:type="spellStart"/>
      <w:r w:rsidRPr="007563E3">
        <w:rPr>
          <w:sz w:val="16"/>
          <w:szCs w:val="16"/>
        </w:rPr>
        <w:t>Gerdien</w:t>
      </w:r>
      <w:proofErr w:type="spellEnd"/>
      <w:r w:rsidRPr="007563E3">
        <w:rPr>
          <w:sz w:val="16"/>
          <w:szCs w:val="16"/>
        </w:rPr>
        <w:t xml:space="preserve"> van de Vreede (2008). </w:t>
      </w:r>
      <w:r w:rsidRPr="007563E3">
        <w:rPr>
          <w:i/>
          <w:sz w:val="16"/>
          <w:szCs w:val="16"/>
          <w:lang w:val="en-US"/>
        </w:rPr>
        <w:t>The economics of Heath</w:t>
      </w:r>
      <w:r w:rsidRPr="007563E3">
        <w:rPr>
          <w:i/>
          <w:sz w:val="16"/>
          <w:szCs w:val="16"/>
          <w:lang w:val="en-GB"/>
        </w:rPr>
        <w:t>row expansion</w:t>
      </w:r>
      <w:r w:rsidRPr="007563E3">
        <w:rPr>
          <w:sz w:val="16"/>
          <w:szCs w:val="16"/>
          <w:lang w:val="en-GB"/>
        </w:rPr>
        <w:t>, Delft, CE Delft</w:t>
      </w:r>
      <w:r w:rsidR="004D20DC" w:rsidRPr="007563E3">
        <w:rPr>
          <w:sz w:val="16"/>
          <w:szCs w:val="16"/>
          <w:lang w:val="en-GB"/>
        </w:rPr>
        <w:t xml:space="preserve">. </w:t>
      </w:r>
      <w:hyperlink r:id="rId22" w:history="1">
        <w:r w:rsidR="004D20DC" w:rsidRPr="007563E3">
          <w:rPr>
            <w:rStyle w:val="Hyperlink"/>
            <w:sz w:val="16"/>
            <w:szCs w:val="16"/>
            <w:lang w:val="en-GB"/>
          </w:rPr>
          <w:t>http://www.ce.nl/publicatie/the_economics_of_heathrow_expansion/742</w:t>
        </w:r>
      </w:hyperlink>
    </w:p>
    <w:p w:rsidR="00B920FE" w:rsidRPr="007563E3" w:rsidRDefault="00B920FE" w:rsidP="00634E39">
      <w:pPr>
        <w:spacing w:line="240" w:lineRule="auto"/>
        <w:jc w:val="left"/>
        <w:rPr>
          <w:sz w:val="16"/>
          <w:szCs w:val="16"/>
          <w:lang w:val="en-US"/>
        </w:rPr>
      </w:pPr>
      <w:r w:rsidRPr="007563E3">
        <w:rPr>
          <w:sz w:val="16"/>
          <w:szCs w:val="16"/>
          <w:lang w:val="en-GB"/>
        </w:rPr>
        <w:t xml:space="preserve">Clean Sky 2012, </w:t>
      </w:r>
      <w:r w:rsidRPr="007563E3">
        <w:rPr>
          <w:sz w:val="16"/>
          <w:szCs w:val="16"/>
          <w:lang w:val="en-US"/>
        </w:rPr>
        <w:t xml:space="preserve">. </w:t>
      </w:r>
      <w:hyperlink r:id="rId23" w:history="1">
        <w:r w:rsidRPr="007563E3">
          <w:rPr>
            <w:rStyle w:val="Hyperlink"/>
            <w:sz w:val="16"/>
            <w:szCs w:val="16"/>
            <w:lang w:val="en-US"/>
          </w:rPr>
          <w:t>http://www.aviationweek.com/Article.aspx?id=/article-xml/AW_07_16_2012_p31-475986.xml</w:t>
        </w:r>
      </w:hyperlink>
    </w:p>
    <w:p w:rsidR="005F0181" w:rsidRPr="007563E3" w:rsidRDefault="00225DFC" w:rsidP="00634E39">
      <w:pPr>
        <w:autoSpaceDE w:val="0"/>
        <w:autoSpaceDN w:val="0"/>
        <w:adjustRightInd w:val="0"/>
        <w:spacing w:line="240" w:lineRule="auto"/>
        <w:jc w:val="left"/>
        <w:rPr>
          <w:sz w:val="16"/>
          <w:szCs w:val="16"/>
          <w:lang w:val="en-US"/>
        </w:rPr>
      </w:pPr>
      <w:r w:rsidRPr="007563E3">
        <w:rPr>
          <w:rFonts w:cs="TrebuchetMS"/>
          <w:sz w:val="16"/>
          <w:szCs w:val="16"/>
        </w:rPr>
        <w:t xml:space="preserve">Faber, </w:t>
      </w:r>
      <w:r w:rsidR="00B224F6" w:rsidRPr="007563E3">
        <w:rPr>
          <w:rFonts w:cs="TrebuchetMS"/>
          <w:sz w:val="16"/>
          <w:szCs w:val="16"/>
        </w:rPr>
        <w:t xml:space="preserve">J. </w:t>
      </w:r>
      <w:r w:rsidRPr="007563E3">
        <w:rPr>
          <w:rFonts w:cs="TrebuchetMS"/>
          <w:sz w:val="16"/>
          <w:szCs w:val="16"/>
        </w:rPr>
        <w:t xml:space="preserve">André van Velzen and </w:t>
      </w:r>
      <w:proofErr w:type="spellStart"/>
      <w:r w:rsidRPr="007563E3">
        <w:rPr>
          <w:rFonts w:cs="TrebuchetMS"/>
          <w:sz w:val="16"/>
          <w:szCs w:val="16"/>
        </w:rPr>
        <w:t>Gerdien</w:t>
      </w:r>
      <w:proofErr w:type="spellEnd"/>
      <w:r w:rsidRPr="007563E3">
        <w:rPr>
          <w:rFonts w:cs="TrebuchetMS"/>
          <w:sz w:val="16"/>
          <w:szCs w:val="16"/>
        </w:rPr>
        <w:t xml:space="preserve"> van de Vreede, 2009, </w:t>
      </w:r>
      <w:r w:rsidRPr="007563E3">
        <w:rPr>
          <w:rFonts w:cs="TrebuchetMS"/>
          <w:i/>
          <w:sz w:val="16"/>
          <w:szCs w:val="16"/>
        </w:rPr>
        <w:t xml:space="preserve">Hoe groen kunnen we vliegen? </w:t>
      </w:r>
      <w:r w:rsidRPr="007563E3">
        <w:rPr>
          <w:rFonts w:cs="TrebuchetMS"/>
          <w:i/>
          <w:sz w:val="16"/>
          <w:szCs w:val="16"/>
          <w:lang w:val="en-US"/>
        </w:rPr>
        <w:t>(How green could we fly?</w:t>
      </w:r>
      <w:r w:rsidRPr="007563E3">
        <w:rPr>
          <w:rFonts w:cs="TrebuchetMS"/>
          <w:sz w:val="16"/>
          <w:szCs w:val="16"/>
          <w:lang w:val="en-US"/>
        </w:rPr>
        <w:t xml:space="preserve">), CE Delft, </w:t>
      </w:r>
      <w:hyperlink r:id="rId24" w:history="1">
        <w:r w:rsidR="005F0181" w:rsidRPr="007563E3">
          <w:rPr>
            <w:rStyle w:val="Hyperlink"/>
            <w:rFonts w:cs="TrebuchetMS"/>
            <w:sz w:val="16"/>
            <w:szCs w:val="16"/>
            <w:lang w:val="en-US"/>
          </w:rPr>
          <w:t>http://www.ce.nl/publicatie/hoe_groen_kunnen_we_vliegen/949</w:t>
        </w:r>
      </w:hyperlink>
    </w:p>
    <w:p w:rsidR="00C33501" w:rsidRPr="007563E3" w:rsidRDefault="00C33501" w:rsidP="00634E39">
      <w:pPr>
        <w:spacing w:line="240" w:lineRule="auto"/>
        <w:jc w:val="left"/>
        <w:rPr>
          <w:sz w:val="16"/>
          <w:szCs w:val="16"/>
          <w:lang w:val="en-US"/>
        </w:rPr>
      </w:pPr>
      <w:r w:rsidRPr="007563E3">
        <w:rPr>
          <w:sz w:val="16"/>
          <w:szCs w:val="16"/>
          <w:lang w:val="en-GB"/>
        </w:rPr>
        <w:t xml:space="preserve">Fahey, D.W., </w:t>
      </w:r>
      <w:r w:rsidR="00B51712" w:rsidRPr="007563E3">
        <w:rPr>
          <w:sz w:val="16"/>
          <w:szCs w:val="16"/>
          <w:lang w:val="en-GB"/>
        </w:rPr>
        <w:t xml:space="preserve">(2007) </w:t>
      </w:r>
      <w:r w:rsidRPr="007563E3">
        <w:rPr>
          <w:i/>
          <w:sz w:val="16"/>
          <w:szCs w:val="16"/>
          <w:lang w:val="en-GB"/>
        </w:rPr>
        <w:t xml:space="preserve">The Assessment of Aviation Cloudiness </w:t>
      </w:r>
      <w:r w:rsidRPr="007563E3">
        <w:rPr>
          <w:sz w:val="16"/>
          <w:szCs w:val="16"/>
          <w:lang w:val="en-GB"/>
        </w:rPr>
        <w:t>in IPCC Climate Ch</w:t>
      </w:r>
      <w:r w:rsidR="002E3FF7" w:rsidRPr="007563E3">
        <w:rPr>
          <w:sz w:val="16"/>
          <w:szCs w:val="16"/>
          <w:lang w:val="en-GB"/>
        </w:rPr>
        <w:t>an</w:t>
      </w:r>
      <w:r w:rsidRPr="007563E3">
        <w:rPr>
          <w:sz w:val="16"/>
          <w:szCs w:val="16"/>
          <w:lang w:val="en-GB"/>
        </w:rPr>
        <w:t xml:space="preserve">ge 2007 – The </w:t>
      </w:r>
      <w:proofErr w:type="spellStart"/>
      <w:r w:rsidRPr="007563E3">
        <w:rPr>
          <w:sz w:val="16"/>
          <w:szCs w:val="16"/>
          <w:lang w:val="en-GB"/>
        </w:rPr>
        <w:t>Fysical</w:t>
      </w:r>
      <w:proofErr w:type="spellEnd"/>
      <w:r w:rsidRPr="007563E3">
        <w:rPr>
          <w:sz w:val="16"/>
          <w:szCs w:val="16"/>
          <w:lang w:val="en-GB"/>
        </w:rPr>
        <w:t xml:space="preserve"> Science Basis. </w:t>
      </w:r>
      <w:hyperlink r:id="rId25" w:history="1">
        <w:r w:rsidRPr="007563E3">
          <w:rPr>
            <w:rStyle w:val="Hyperlink"/>
            <w:sz w:val="16"/>
            <w:szCs w:val="16"/>
            <w:lang w:val="en-GB"/>
          </w:rPr>
          <w:t>http://www.icao.int/Meetings/EnvironmentalColloquium/Documents/2007-Colloquium/Fahey.pdf</w:t>
        </w:r>
      </w:hyperlink>
    </w:p>
    <w:p w:rsidR="00B613EB" w:rsidRPr="007563E3" w:rsidRDefault="00841785" w:rsidP="00634E39">
      <w:pPr>
        <w:spacing w:line="240" w:lineRule="auto"/>
        <w:jc w:val="left"/>
        <w:rPr>
          <w:sz w:val="16"/>
          <w:szCs w:val="16"/>
          <w:lang w:val="en-US"/>
        </w:rPr>
      </w:pPr>
      <w:r w:rsidRPr="007563E3">
        <w:rPr>
          <w:sz w:val="16"/>
          <w:szCs w:val="16"/>
          <w:lang w:val="en-GB"/>
        </w:rPr>
        <w:t xml:space="preserve">IATA (2010), </w:t>
      </w:r>
      <w:r w:rsidRPr="007563E3">
        <w:rPr>
          <w:i/>
          <w:sz w:val="16"/>
          <w:szCs w:val="16"/>
          <w:lang w:val="en-GB"/>
        </w:rPr>
        <w:t>Airport Slots - The Building Blocks of Air Travel</w:t>
      </w:r>
      <w:r w:rsidRPr="007563E3">
        <w:rPr>
          <w:sz w:val="16"/>
          <w:szCs w:val="16"/>
          <w:lang w:val="en-GB"/>
        </w:rPr>
        <w:t xml:space="preserve"> </w:t>
      </w:r>
      <w:r w:rsidR="00F012CE" w:rsidRPr="007563E3">
        <w:rPr>
          <w:sz w:val="16"/>
          <w:szCs w:val="16"/>
          <w:lang w:val="en-GB"/>
        </w:rPr>
        <w:t xml:space="preserve">, </w:t>
      </w:r>
      <w:hyperlink r:id="rId26" w:history="1">
        <w:r w:rsidR="005A1736" w:rsidRPr="007563E3">
          <w:rPr>
            <w:rStyle w:val="Hyperlink"/>
            <w:sz w:val="16"/>
            <w:szCs w:val="16"/>
            <w:lang w:val="en-US"/>
          </w:rPr>
          <w:t>http://www.iata.org/publications/airlines-international/august-2010/Pages/06.aspx</w:t>
        </w:r>
      </w:hyperlink>
    </w:p>
    <w:p w:rsidR="00015BD5" w:rsidRPr="007563E3" w:rsidRDefault="00015BD5" w:rsidP="00634E39">
      <w:pPr>
        <w:spacing w:line="240" w:lineRule="auto"/>
        <w:jc w:val="left"/>
        <w:rPr>
          <w:sz w:val="16"/>
          <w:szCs w:val="16"/>
          <w:lang w:val="en-US"/>
        </w:rPr>
      </w:pPr>
      <w:r w:rsidRPr="007563E3">
        <w:rPr>
          <w:sz w:val="16"/>
          <w:szCs w:val="16"/>
          <w:lang w:val="en-US"/>
        </w:rPr>
        <w:t xml:space="preserve">ICAO (2010a)  </w:t>
      </w:r>
      <w:r w:rsidRPr="007563E3">
        <w:rPr>
          <w:i/>
          <w:sz w:val="16"/>
          <w:szCs w:val="16"/>
          <w:lang w:val="en-US"/>
        </w:rPr>
        <w:t>Aircraft engine emissions</w:t>
      </w:r>
      <w:r w:rsidRPr="007563E3">
        <w:rPr>
          <w:sz w:val="16"/>
          <w:szCs w:val="16"/>
          <w:lang w:val="en-US"/>
        </w:rPr>
        <w:t xml:space="preserve">. </w:t>
      </w:r>
      <w:hyperlink r:id="rId27" w:history="1">
        <w:r w:rsidRPr="007563E3">
          <w:rPr>
            <w:rStyle w:val="Hyperlink"/>
            <w:sz w:val="16"/>
            <w:szCs w:val="16"/>
            <w:lang w:val="en-US"/>
          </w:rPr>
          <w:t>http://legacy.icao.int/env/aee.htm</w:t>
        </w:r>
      </w:hyperlink>
    </w:p>
    <w:p w:rsidR="00214446" w:rsidRPr="007563E3" w:rsidRDefault="00214446" w:rsidP="00634E39">
      <w:pPr>
        <w:spacing w:line="240" w:lineRule="auto"/>
        <w:jc w:val="left"/>
        <w:rPr>
          <w:i/>
          <w:sz w:val="16"/>
          <w:szCs w:val="16"/>
        </w:rPr>
      </w:pPr>
      <w:r w:rsidRPr="007563E3">
        <w:rPr>
          <w:sz w:val="16"/>
          <w:szCs w:val="16"/>
          <w:lang w:val="en-GB"/>
        </w:rPr>
        <w:t>ICAO (2010</w:t>
      </w:r>
      <w:r w:rsidR="00015BD5" w:rsidRPr="007563E3">
        <w:rPr>
          <w:sz w:val="16"/>
          <w:szCs w:val="16"/>
          <w:lang w:val="en-GB"/>
        </w:rPr>
        <w:t>b</w:t>
      </w:r>
      <w:r w:rsidRPr="007563E3">
        <w:rPr>
          <w:sz w:val="16"/>
          <w:szCs w:val="16"/>
          <w:lang w:val="en-GB"/>
        </w:rPr>
        <w:t xml:space="preserve">) Resolution A37-19: </w:t>
      </w:r>
      <w:r w:rsidRPr="007563E3">
        <w:rPr>
          <w:i/>
          <w:sz w:val="16"/>
          <w:szCs w:val="16"/>
          <w:lang w:val="en-GB"/>
        </w:rPr>
        <w:t>Consolidated statement of continuing ICAO policies and practices related to enviro</w:t>
      </w:r>
      <w:r w:rsidRPr="007563E3">
        <w:rPr>
          <w:i/>
          <w:sz w:val="16"/>
          <w:szCs w:val="16"/>
          <w:lang w:val="en-GB"/>
        </w:rPr>
        <w:t>n</w:t>
      </w:r>
      <w:r w:rsidRPr="007563E3">
        <w:rPr>
          <w:i/>
          <w:sz w:val="16"/>
          <w:szCs w:val="16"/>
          <w:lang w:val="en-GB"/>
        </w:rPr>
        <w:t>mental protection – Climate change</w:t>
      </w:r>
      <w:r w:rsidR="005A1736" w:rsidRPr="007563E3">
        <w:rPr>
          <w:i/>
          <w:sz w:val="16"/>
          <w:szCs w:val="16"/>
          <w:lang w:val="en-GB"/>
        </w:rPr>
        <w:t>.</w:t>
      </w:r>
      <w:r w:rsidR="005A1736" w:rsidRPr="007563E3">
        <w:rPr>
          <w:sz w:val="16"/>
          <w:szCs w:val="16"/>
          <w:lang w:val="en-US"/>
        </w:rPr>
        <w:t xml:space="preserve"> </w:t>
      </w:r>
      <w:hyperlink r:id="rId28" w:history="1">
        <w:r w:rsidR="005A1736" w:rsidRPr="007563E3">
          <w:rPr>
            <w:rStyle w:val="Hyperlink"/>
            <w:i/>
            <w:sz w:val="16"/>
            <w:szCs w:val="16"/>
          </w:rPr>
          <w:t>http://www.icao.int/safety/pbn/PBN%20references/Assembly%20Resolution%2037-11_%20PBN%20global%20goals.pdf</w:t>
        </w:r>
      </w:hyperlink>
    </w:p>
    <w:p w:rsidR="00124DC6" w:rsidRPr="007563E3" w:rsidRDefault="00124DC6" w:rsidP="00634E39">
      <w:pPr>
        <w:spacing w:after="0" w:line="240" w:lineRule="auto"/>
        <w:jc w:val="left"/>
        <w:rPr>
          <w:sz w:val="16"/>
          <w:szCs w:val="16"/>
          <w:lang w:val="en-US"/>
        </w:rPr>
      </w:pPr>
      <w:r w:rsidRPr="007563E3">
        <w:rPr>
          <w:sz w:val="16"/>
          <w:szCs w:val="16"/>
          <w:lang w:val="en-GB"/>
        </w:rPr>
        <w:t>IEA (2011)</w:t>
      </w:r>
      <w:r w:rsidR="00F05EB1" w:rsidRPr="007563E3">
        <w:rPr>
          <w:sz w:val="16"/>
          <w:szCs w:val="16"/>
          <w:lang w:val="en-GB"/>
        </w:rPr>
        <w:t xml:space="preserve"> </w:t>
      </w:r>
      <w:r w:rsidRPr="007563E3">
        <w:rPr>
          <w:sz w:val="16"/>
          <w:szCs w:val="16"/>
          <w:lang w:val="en-GB"/>
        </w:rPr>
        <w:t xml:space="preserve"> </w:t>
      </w:r>
      <w:r w:rsidRPr="007563E3">
        <w:rPr>
          <w:i/>
          <w:sz w:val="16"/>
          <w:szCs w:val="16"/>
          <w:lang w:val="en-US"/>
        </w:rPr>
        <w:t xml:space="preserve">Technology Roadmap </w:t>
      </w:r>
      <w:r w:rsidR="00F05EB1" w:rsidRPr="007563E3">
        <w:rPr>
          <w:i/>
          <w:sz w:val="16"/>
          <w:szCs w:val="16"/>
          <w:lang w:val="en-US"/>
        </w:rPr>
        <w:t xml:space="preserve">- </w:t>
      </w:r>
      <w:r w:rsidR="009F29C7" w:rsidRPr="007563E3">
        <w:rPr>
          <w:i/>
          <w:sz w:val="16"/>
          <w:szCs w:val="16"/>
          <w:lang w:val="en-US"/>
        </w:rPr>
        <w:t>Bio fuel</w:t>
      </w:r>
      <w:r w:rsidRPr="007563E3">
        <w:rPr>
          <w:i/>
          <w:sz w:val="16"/>
          <w:szCs w:val="16"/>
          <w:lang w:val="en-US"/>
        </w:rPr>
        <w:t>s for Transport</w:t>
      </w:r>
      <w:r w:rsidRPr="007563E3">
        <w:rPr>
          <w:sz w:val="16"/>
          <w:szCs w:val="16"/>
          <w:lang w:val="en-GB"/>
        </w:rPr>
        <w:t xml:space="preserve">  </w:t>
      </w:r>
      <w:r w:rsidRPr="007563E3">
        <w:rPr>
          <w:sz w:val="16"/>
          <w:szCs w:val="16"/>
          <w:lang w:val="en-US"/>
        </w:rPr>
        <w:t>OECD/IEA</w:t>
      </w:r>
    </w:p>
    <w:p w:rsidR="00124DC6" w:rsidRPr="007563E3" w:rsidRDefault="007453DE" w:rsidP="00634E39">
      <w:pPr>
        <w:spacing w:line="240" w:lineRule="auto"/>
        <w:jc w:val="left"/>
        <w:rPr>
          <w:sz w:val="16"/>
          <w:szCs w:val="16"/>
          <w:lang w:val="en-GB"/>
        </w:rPr>
      </w:pPr>
      <w:hyperlink r:id="rId29" w:history="1">
        <w:r w:rsidR="00124DC6" w:rsidRPr="007563E3">
          <w:rPr>
            <w:rStyle w:val="Hyperlink"/>
            <w:sz w:val="16"/>
            <w:szCs w:val="16"/>
            <w:lang w:val="en-GB"/>
          </w:rPr>
          <w:t>http://www.iea.org/publications/freepublications/publication/</w:t>
        </w:r>
        <w:r w:rsidR="009F29C7" w:rsidRPr="007563E3">
          <w:rPr>
            <w:rStyle w:val="Hyperlink"/>
            <w:sz w:val="16"/>
            <w:szCs w:val="16"/>
            <w:lang w:val="en-GB"/>
          </w:rPr>
          <w:t>bio fuel</w:t>
        </w:r>
        <w:r w:rsidR="00124DC6" w:rsidRPr="007563E3">
          <w:rPr>
            <w:rStyle w:val="Hyperlink"/>
            <w:sz w:val="16"/>
            <w:szCs w:val="16"/>
            <w:lang w:val="en-GB"/>
          </w:rPr>
          <w:t>s_roadmap.pdf</w:t>
        </w:r>
      </w:hyperlink>
    </w:p>
    <w:p w:rsidR="00754AFD" w:rsidRPr="007563E3" w:rsidRDefault="00754AFD" w:rsidP="00634E39">
      <w:pPr>
        <w:spacing w:line="240" w:lineRule="auto"/>
        <w:jc w:val="left"/>
        <w:rPr>
          <w:sz w:val="16"/>
          <w:szCs w:val="16"/>
          <w:lang w:val="en-GB"/>
        </w:rPr>
      </w:pPr>
      <w:r w:rsidRPr="007563E3">
        <w:rPr>
          <w:sz w:val="16"/>
          <w:szCs w:val="16"/>
          <w:lang w:val="en-GB"/>
        </w:rPr>
        <w:t xml:space="preserve">IMF Working Paper WP 12/109, </w:t>
      </w:r>
      <w:r w:rsidRPr="007563E3">
        <w:rPr>
          <w:sz w:val="16"/>
          <w:szCs w:val="16"/>
          <w:lang w:val="en-US"/>
        </w:rPr>
        <w:t>Benes, J. et al.,</w:t>
      </w:r>
      <w:r w:rsidR="00315BE2" w:rsidRPr="007563E3">
        <w:rPr>
          <w:sz w:val="16"/>
          <w:szCs w:val="16"/>
          <w:lang w:val="en-US"/>
        </w:rPr>
        <w:t xml:space="preserve"> (2012)</w:t>
      </w:r>
      <w:r w:rsidRPr="007563E3">
        <w:rPr>
          <w:sz w:val="16"/>
          <w:szCs w:val="16"/>
          <w:lang w:val="en-US"/>
        </w:rPr>
        <w:t xml:space="preserve"> </w:t>
      </w:r>
      <w:r w:rsidRPr="007563E3">
        <w:rPr>
          <w:i/>
          <w:sz w:val="16"/>
          <w:szCs w:val="16"/>
          <w:lang w:val="en-GB"/>
        </w:rPr>
        <w:t>The Future of Oil: Geology versus Technology</w:t>
      </w:r>
      <w:r w:rsidRPr="007563E3">
        <w:rPr>
          <w:sz w:val="16"/>
          <w:szCs w:val="16"/>
          <w:lang w:val="en-GB"/>
        </w:rPr>
        <w:t xml:space="preserve">, </w:t>
      </w:r>
      <w:hyperlink r:id="rId30" w:history="1">
        <w:r w:rsidR="005A1736" w:rsidRPr="007563E3">
          <w:rPr>
            <w:rStyle w:val="Hyperlink"/>
            <w:sz w:val="16"/>
            <w:szCs w:val="16"/>
            <w:lang w:val="en-GB"/>
          </w:rPr>
          <w:t>http://www.imf.org/external/pubs/ft/wp/2012/wp12109.pdf</w:t>
        </w:r>
      </w:hyperlink>
    </w:p>
    <w:p w:rsidR="00B76822" w:rsidRPr="007563E3" w:rsidRDefault="00B76822" w:rsidP="00634E39">
      <w:pPr>
        <w:spacing w:line="240" w:lineRule="auto"/>
        <w:jc w:val="left"/>
        <w:rPr>
          <w:sz w:val="16"/>
          <w:szCs w:val="16"/>
          <w:lang w:val="en-US"/>
        </w:rPr>
      </w:pPr>
      <w:r w:rsidRPr="007563E3">
        <w:rPr>
          <w:sz w:val="16"/>
          <w:szCs w:val="16"/>
          <w:lang w:val="en-US"/>
        </w:rPr>
        <w:t xml:space="preserve">IPCC </w:t>
      </w:r>
      <w:r w:rsidR="001F097B" w:rsidRPr="007563E3">
        <w:rPr>
          <w:sz w:val="16"/>
          <w:szCs w:val="16"/>
          <w:lang w:val="en-US"/>
        </w:rPr>
        <w:t>(</w:t>
      </w:r>
      <w:r w:rsidR="00E160E5" w:rsidRPr="007563E3">
        <w:rPr>
          <w:sz w:val="16"/>
          <w:szCs w:val="16"/>
          <w:lang w:val="en-US"/>
        </w:rPr>
        <w:t>1999</w:t>
      </w:r>
      <w:r w:rsidR="001F097B" w:rsidRPr="007563E3">
        <w:rPr>
          <w:sz w:val="16"/>
          <w:szCs w:val="16"/>
          <w:lang w:val="en-US"/>
        </w:rPr>
        <w:t>)</w:t>
      </w:r>
      <w:r w:rsidRPr="007563E3">
        <w:rPr>
          <w:sz w:val="16"/>
          <w:szCs w:val="16"/>
          <w:lang w:val="en-US"/>
        </w:rPr>
        <w:t xml:space="preserve">, Aviation and the global atmosphere, </w:t>
      </w:r>
      <w:proofErr w:type="spellStart"/>
      <w:r w:rsidR="003F11D0" w:rsidRPr="007563E3">
        <w:rPr>
          <w:sz w:val="16"/>
          <w:szCs w:val="16"/>
          <w:lang w:val="en-US"/>
        </w:rPr>
        <w:t>J.E.Penner</w:t>
      </w:r>
      <w:proofErr w:type="spellEnd"/>
      <w:r w:rsidR="003F11D0" w:rsidRPr="007563E3">
        <w:rPr>
          <w:sz w:val="16"/>
          <w:szCs w:val="16"/>
          <w:lang w:val="en-US"/>
        </w:rPr>
        <w:t xml:space="preserve">, </w:t>
      </w:r>
      <w:proofErr w:type="spellStart"/>
      <w:r w:rsidR="003F11D0" w:rsidRPr="007563E3">
        <w:rPr>
          <w:sz w:val="16"/>
          <w:szCs w:val="16"/>
          <w:lang w:val="en-US"/>
        </w:rPr>
        <w:t>D.H.Lister</w:t>
      </w:r>
      <w:proofErr w:type="spellEnd"/>
      <w:r w:rsidR="003F11D0" w:rsidRPr="007563E3">
        <w:rPr>
          <w:sz w:val="16"/>
          <w:szCs w:val="16"/>
          <w:lang w:val="en-US"/>
        </w:rPr>
        <w:t xml:space="preserve">, </w:t>
      </w:r>
      <w:proofErr w:type="spellStart"/>
      <w:r w:rsidR="003F11D0" w:rsidRPr="007563E3">
        <w:rPr>
          <w:sz w:val="16"/>
          <w:szCs w:val="16"/>
          <w:lang w:val="en-US"/>
        </w:rPr>
        <w:t>D.J.Griggs</w:t>
      </w:r>
      <w:proofErr w:type="spellEnd"/>
      <w:r w:rsidR="003F11D0" w:rsidRPr="007563E3">
        <w:rPr>
          <w:sz w:val="16"/>
          <w:szCs w:val="16"/>
          <w:lang w:val="en-US"/>
        </w:rPr>
        <w:t xml:space="preserve">, </w:t>
      </w:r>
      <w:proofErr w:type="spellStart"/>
      <w:r w:rsidR="003F11D0" w:rsidRPr="007563E3">
        <w:rPr>
          <w:sz w:val="16"/>
          <w:szCs w:val="16"/>
          <w:lang w:val="en-US"/>
        </w:rPr>
        <w:t>D.J.Dokken</w:t>
      </w:r>
      <w:proofErr w:type="spellEnd"/>
      <w:r w:rsidR="003F11D0" w:rsidRPr="007563E3">
        <w:rPr>
          <w:sz w:val="16"/>
          <w:szCs w:val="16"/>
          <w:lang w:val="en-US"/>
        </w:rPr>
        <w:t>, McFa</w:t>
      </w:r>
      <w:r w:rsidR="0032114A" w:rsidRPr="007563E3">
        <w:rPr>
          <w:sz w:val="16"/>
          <w:szCs w:val="16"/>
          <w:lang w:val="en-US"/>
        </w:rPr>
        <w:t>r</w:t>
      </w:r>
      <w:r w:rsidR="003F11D0" w:rsidRPr="007563E3">
        <w:rPr>
          <w:sz w:val="16"/>
          <w:szCs w:val="16"/>
          <w:lang w:val="en-US"/>
        </w:rPr>
        <w:t>land</w:t>
      </w:r>
      <w:r w:rsidR="0032114A" w:rsidRPr="007563E3">
        <w:rPr>
          <w:sz w:val="16"/>
          <w:szCs w:val="16"/>
          <w:lang w:val="en-US"/>
        </w:rPr>
        <w:t>(</w:t>
      </w:r>
      <w:proofErr w:type="spellStart"/>
      <w:r w:rsidR="0032114A" w:rsidRPr="007563E3">
        <w:rPr>
          <w:sz w:val="16"/>
          <w:szCs w:val="16"/>
          <w:lang w:val="en-US"/>
        </w:rPr>
        <w:t>Eds</w:t>
      </w:r>
      <w:proofErr w:type="spellEnd"/>
      <w:r w:rsidR="0032114A" w:rsidRPr="007563E3">
        <w:rPr>
          <w:sz w:val="16"/>
          <w:szCs w:val="16"/>
          <w:lang w:val="en-US"/>
        </w:rPr>
        <w:t xml:space="preserve">) </w:t>
      </w:r>
      <w:hyperlink r:id="rId31" w:history="1">
        <w:r w:rsidRPr="007563E3">
          <w:rPr>
            <w:rStyle w:val="Hyperlink"/>
            <w:sz w:val="16"/>
            <w:szCs w:val="16"/>
            <w:lang w:val="en-US"/>
          </w:rPr>
          <w:t>http://www.ipcc.ch/ipccreports/sres/aviation/index.htm</w:t>
        </w:r>
      </w:hyperlink>
    </w:p>
    <w:p w:rsidR="00EF4CE4" w:rsidRPr="007563E3" w:rsidRDefault="001F097B" w:rsidP="00634E39">
      <w:pPr>
        <w:autoSpaceDE w:val="0"/>
        <w:autoSpaceDN w:val="0"/>
        <w:adjustRightInd w:val="0"/>
        <w:spacing w:after="0" w:line="240" w:lineRule="auto"/>
        <w:jc w:val="left"/>
        <w:rPr>
          <w:sz w:val="16"/>
          <w:szCs w:val="16"/>
          <w:lang w:val="en-GB"/>
        </w:rPr>
      </w:pPr>
      <w:r w:rsidRPr="007563E3">
        <w:rPr>
          <w:sz w:val="16"/>
          <w:szCs w:val="16"/>
          <w:lang w:val="en-GB"/>
        </w:rPr>
        <w:t>IPCC (</w:t>
      </w:r>
      <w:r w:rsidR="00A75C6E" w:rsidRPr="007563E3">
        <w:rPr>
          <w:sz w:val="16"/>
          <w:szCs w:val="16"/>
          <w:lang w:val="en-GB"/>
        </w:rPr>
        <w:t>2007</w:t>
      </w:r>
      <w:r w:rsidRPr="007563E3">
        <w:rPr>
          <w:sz w:val="16"/>
          <w:szCs w:val="16"/>
          <w:lang w:val="en-GB"/>
        </w:rPr>
        <w:t>)</w:t>
      </w:r>
      <w:r w:rsidR="00A75C6E" w:rsidRPr="007563E3">
        <w:rPr>
          <w:sz w:val="16"/>
          <w:szCs w:val="16"/>
          <w:lang w:val="en-GB"/>
        </w:rPr>
        <w:t xml:space="preserve"> </w:t>
      </w:r>
      <w:r w:rsidR="00EF4CE4" w:rsidRPr="007563E3">
        <w:rPr>
          <w:i/>
          <w:sz w:val="16"/>
          <w:szCs w:val="16"/>
          <w:lang w:val="en-GB"/>
        </w:rPr>
        <w:t xml:space="preserve">Climate Change 2007: </w:t>
      </w:r>
      <w:r w:rsidR="00EF4CE4" w:rsidRPr="007563E3">
        <w:rPr>
          <w:i/>
          <w:sz w:val="16"/>
          <w:szCs w:val="16"/>
          <w:lang w:val="en-US"/>
        </w:rPr>
        <w:t>The Physical Science Basis</w:t>
      </w:r>
      <w:r w:rsidR="00EF4CE4" w:rsidRPr="007563E3">
        <w:rPr>
          <w:b/>
          <w:i/>
          <w:sz w:val="16"/>
          <w:szCs w:val="16"/>
          <w:lang w:val="en-GB"/>
        </w:rPr>
        <w:t xml:space="preserve"> (AR4)</w:t>
      </w:r>
      <w:r w:rsidR="00EF4CE4" w:rsidRPr="007563E3">
        <w:rPr>
          <w:sz w:val="16"/>
          <w:szCs w:val="16"/>
          <w:lang w:val="en-GB"/>
        </w:rPr>
        <w:t xml:space="preserve">. </w:t>
      </w:r>
      <w:r w:rsidR="0095493D" w:rsidRPr="007563E3">
        <w:rPr>
          <w:sz w:val="16"/>
          <w:szCs w:val="16"/>
          <w:lang w:val="en-US"/>
        </w:rPr>
        <w:t>Cambridge University Press, Cambridge, United Kingdom and New York, NY, USA.</w:t>
      </w:r>
    </w:p>
    <w:p w:rsidR="003F11D0" w:rsidRPr="007563E3" w:rsidRDefault="00EF4CE4" w:rsidP="00634E39">
      <w:pPr>
        <w:autoSpaceDE w:val="0"/>
        <w:autoSpaceDN w:val="0"/>
        <w:adjustRightInd w:val="0"/>
        <w:spacing w:after="0" w:line="240" w:lineRule="auto"/>
        <w:jc w:val="left"/>
        <w:rPr>
          <w:sz w:val="16"/>
          <w:szCs w:val="16"/>
        </w:rPr>
      </w:pPr>
      <w:r w:rsidRPr="007563E3">
        <w:rPr>
          <w:sz w:val="16"/>
          <w:szCs w:val="16"/>
          <w:lang w:val="en-GB"/>
        </w:rPr>
        <w:t xml:space="preserve">(a) </w:t>
      </w:r>
      <w:proofErr w:type="spellStart"/>
      <w:r w:rsidR="00AA0637" w:rsidRPr="007563E3">
        <w:rPr>
          <w:sz w:val="16"/>
          <w:szCs w:val="16"/>
          <w:lang w:val="en-US"/>
        </w:rPr>
        <w:t>Meehl</w:t>
      </w:r>
      <w:proofErr w:type="spellEnd"/>
      <w:r w:rsidR="00AA0637" w:rsidRPr="007563E3">
        <w:rPr>
          <w:sz w:val="16"/>
          <w:szCs w:val="16"/>
          <w:lang w:val="en-US"/>
        </w:rPr>
        <w:t xml:space="preserve">, G.A., et al , </w:t>
      </w:r>
      <w:r w:rsidR="00820CBA" w:rsidRPr="007563E3">
        <w:rPr>
          <w:sz w:val="16"/>
          <w:szCs w:val="16"/>
          <w:lang w:val="en-US"/>
        </w:rPr>
        <w:t>Contribution of Working Group I</w:t>
      </w:r>
      <w:r w:rsidR="00AA0637" w:rsidRPr="007563E3">
        <w:rPr>
          <w:sz w:val="16"/>
          <w:szCs w:val="16"/>
          <w:lang w:val="en-US"/>
        </w:rPr>
        <w:t>,</w:t>
      </w:r>
      <w:r w:rsidR="00FF367E" w:rsidRPr="007563E3">
        <w:rPr>
          <w:sz w:val="16"/>
          <w:szCs w:val="16"/>
          <w:lang w:val="en-US"/>
        </w:rPr>
        <w:t xml:space="preserve"> Chapter 10</w:t>
      </w:r>
      <w:r w:rsidR="00AA0637" w:rsidRPr="007563E3">
        <w:rPr>
          <w:sz w:val="16"/>
          <w:szCs w:val="16"/>
          <w:lang w:val="en-US"/>
        </w:rPr>
        <w:t xml:space="preserve">, </w:t>
      </w:r>
      <w:r w:rsidRPr="007563E3">
        <w:rPr>
          <w:i/>
          <w:sz w:val="16"/>
          <w:szCs w:val="16"/>
          <w:lang w:val="en-US"/>
        </w:rPr>
        <w:t>Global Climate Projections</w:t>
      </w:r>
      <w:r w:rsidR="0095493D" w:rsidRPr="007563E3">
        <w:rPr>
          <w:sz w:val="16"/>
          <w:szCs w:val="16"/>
          <w:lang w:val="en-GB"/>
        </w:rPr>
        <w:t>,pages 791-792</w:t>
      </w:r>
      <w:r w:rsidR="00AA0637" w:rsidRPr="007563E3">
        <w:rPr>
          <w:sz w:val="16"/>
          <w:szCs w:val="16"/>
          <w:lang w:val="en-US"/>
        </w:rPr>
        <w:t>.</w:t>
      </w:r>
      <w:r w:rsidR="00820CBA" w:rsidRPr="007563E3">
        <w:rPr>
          <w:sz w:val="16"/>
          <w:szCs w:val="16"/>
          <w:lang w:val="en-GB"/>
        </w:rPr>
        <w:t xml:space="preserve"> </w:t>
      </w:r>
      <w:hyperlink r:id="rId32" w:history="1">
        <w:r w:rsidR="00A75C6E" w:rsidRPr="007563E3">
          <w:rPr>
            <w:rStyle w:val="Hyperlink"/>
            <w:sz w:val="16"/>
            <w:szCs w:val="16"/>
          </w:rPr>
          <w:t>http://www.ipcc.ch/pdf/assessment-report/ar4/wg1/ar4-wg1-chapter10.pdf</w:t>
        </w:r>
      </w:hyperlink>
    </w:p>
    <w:p w:rsidR="00AA0637" w:rsidRPr="007563E3" w:rsidRDefault="00AA0637" w:rsidP="00634E39">
      <w:pPr>
        <w:autoSpaceDE w:val="0"/>
        <w:autoSpaceDN w:val="0"/>
        <w:adjustRightInd w:val="0"/>
        <w:spacing w:after="0" w:line="240" w:lineRule="auto"/>
        <w:jc w:val="left"/>
        <w:rPr>
          <w:rStyle w:val="reference-text"/>
          <w:sz w:val="16"/>
          <w:szCs w:val="16"/>
          <w:lang w:val="en-US"/>
        </w:rPr>
      </w:pPr>
      <w:r w:rsidRPr="007563E3">
        <w:rPr>
          <w:sz w:val="16"/>
          <w:szCs w:val="16"/>
        </w:rPr>
        <w:t xml:space="preserve">(b) </w:t>
      </w:r>
      <w:proofErr w:type="spellStart"/>
      <w:r w:rsidRPr="007563E3">
        <w:rPr>
          <w:sz w:val="16"/>
          <w:szCs w:val="16"/>
        </w:rPr>
        <w:t>Kahn</w:t>
      </w:r>
      <w:proofErr w:type="spellEnd"/>
      <w:r w:rsidRPr="007563E3">
        <w:rPr>
          <w:sz w:val="16"/>
          <w:szCs w:val="16"/>
        </w:rPr>
        <w:t xml:space="preserve"> </w:t>
      </w:r>
      <w:proofErr w:type="spellStart"/>
      <w:r w:rsidRPr="007563E3">
        <w:rPr>
          <w:sz w:val="16"/>
          <w:szCs w:val="16"/>
        </w:rPr>
        <w:t>Ribero</w:t>
      </w:r>
      <w:proofErr w:type="spellEnd"/>
      <w:r w:rsidRPr="007563E3">
        <w:rPr>
          <w:sz w:val="16"/>
          <w:szCs w:val="16"/>
        </w:rPr>
        <w:t xml:space="preserve">, S. et al. </w:t>
      </w:r>
      <w:r w:rsidRPr="007563E3">
        <w:rPr>
          <w:rStyle w:val="reference-text"/>
          <w:sz w:val="16"/>
          <w:szCs w:val="16"/>
          <w:lang w:val="en-US"/>
        </w:rPr>
        <w:t>Contribution of Working Group III,</w:t>
      </w:r>
      <w:r w:rsidRPr="007563E3">
        <w:rPr>
          <w:rFonts w:cs="HelveticaNeue-Roman"/>
          <w:sz w:val="16"/>
          <w:szCs w:val="16"/>
          <w:lang w:val="en-US"/>
        </w:rPr>
        <w:t xml:space="preserve">. </w:t>
      </w:r>
      <w:r w:rsidR="00226017" w:rsidRPr="007563E3">
        <w:rPr>
          <w:rStyle w:val="reference-text"/>
          <w:sz w:val="16"/>
          <w:szCs w:val="16"/>
          <w:lang w:val="en-US"/>
        </w:rPr>
        <w:t xml:space="preserve">Chapter 5 </w:t>
      </w:r>
      <w:r w:rsidR="00226017" w:rsidRPr="007563E3">
        <w:rPr>
          <w:rStyle w:val="reference-text"/>
          <w:i/>
          <w:sz w:val="16"/>
          <w:szCs w:val="16"/>
          <w:lang w:val="en-US"/>
        </w:rPr>
        <w:t>Transport and its infrastructure</w:t>
      </w:r>
      <w:r w:rsidR="00226017" w:rsidRPr="007563E3">
        <w:rPr>
          <w:rStyle w:val="reference-text"/>
          <w:sz w:val="16"/>
          <w:szCs w:val="16"/>
          <w:lang w:val="en-US"/>
        </w:rPr>
        <w:t>, pages</w:t>
      </w:r>
      <w:r w:rsidR="005A1272" w:rsidRPr="007563E3">
        <w:rPr>
          <w:rStyle w:val="reference-text"/>
          <w:sz w:val="16"/>
          <w:szCs w:val="16"/>
          <w:lang w:val="en-US"/>
        </w:rPr>
        <w:t xml:space="preserve"> 352-355</w:t>
      </w:r>
      <w:r w:rsidR="00A96259" w:rsidRPr="007563E3">
        <w:rPr>
          <w:rStyle w:val="reference-text"/>
          <w:sz w:val="16"/>
          <w:szCs w:val="16"/>
          <w:lang w:val="en-US"/>
        </w:rPr>
        <w:t>.</w:t>
      </w:r>
    </w:p>
    <w:p w:rsidR="0095493D" w:rsidRPr="007563E3" w:rsidRDefault="00226017" w:rsidP="00634E39">
      <w:pPr>
        <w:autoSpaceDE w:val="0"/>
        <w:autoSpaceDN w:val="0"/>
        <w:adjustRightInd w:val="0"/>
        <w:spacing w:after="0" w:line="240" w:lineRule="auto"/>
        <w:jc w:val="left"/>
        <w:rPr>
          <w:sz w:val="16"/>
          <w:szCs w:val="16"/>
          <w:lang w:val="en-US"/>
        </w:rPr>
      </w:pPr>
      <w:r w:rsidRPr="007563E3">
        <w:rPr>
          <w:rStyle w:val="reference-text"/>
          <w:sz w:val="16"/>
          <w:szCs w:val="16"/>
          <w:lang w:val="en-US"/>
        </w:rPr>
        <w:t xml:space="preserve"> </w:t>
      </w:r>
      <w:hyperlink r:id="rId33" w:history="1">
        <w:r w:rsidRPr="007563E3">
          <w:rPr>
            <w:rStyle w:val="Hyperlink"/>
            <w:sz w:val="16"/>
            <w:szCs w:val="16"/>
            <w:lang w:val="en-US"/>
          </w:rPr>
          <w:t>http://www.ipcc.ch/pdf/assessment-report/ar4/wg3/ar4-wg3-chapter5.pdf</w:t>
        </w:r>
      </w:hyperlink>
    </w:p>
    <w:p w:rsidR="0095493D" w:rsidRPr="007563E3" w:rsidRDefault="0095493D" w:rsidP="00634E39">
      <w:pPr>
        <w:autoSpaceDE w:val="0"/>
        <w:autoSpaceDN w:val="0"/>
        <w:adjustRightInd w:val="0"/>
        <w:spacing w:after="0" w:line="240" w:lineRule="auto"/>
        <w:jc w:val="left"/>
        <w:rPr>
          <w:sz w:val="16"/>
          <w:szCs w:val="16"/>
          <w:lang w:val="en-US"/>
        </w:rPr>
      </w:pPr>
    </w:p>
    <w:p w:rsidR="004939DB" w:rsidRPr="007563E3" w:rsidRDefault="00FF367E" w:rsidP="00634E39">
      <w:pPr>
        <w:spacing w:line="240" w:lineRule="auto"/>
        <w:jc w:val="left"/>
        <w:rPr>
          <w:sz w:val="16"/>
          <w:szCs w:val="16"/>
          <w:lang w:val="en-US"/>
        </w:rPr>
      </w:pPr>
      <w:r w:rsidRPr="007563E3">
        <w:rPr>
          <w:sz w:val="16"/>
          <w:szCs w:val="16"/>
          <w:lang w:val="en-US"/>
        </w:rPr>
        <w:t>IPCC (</w:t>
      </w:r>
      <w:r w:rsidR="004939DB" w:rsidRPr="007563E3">
        <w:rPr>
          <w:sz w:val="16"/>
          <w:szCs w:val="16"/>
          <w:lang w:val="en-US"/>
        </w:rPr>
        <w:t>2011</w:t>
      </w:r>
      <w:r w:rsidRPr="007563E3">
        <w:rPr>
          <w:sz w:val="16"/>
          <w:szCs w:val="16"/>
          <w:lang w:val="en-US"/>
        </w:rPr>
        <w:t>)</w:t>
      </w:r>
      <w:r w:rsidR="004939DB" w:rsidRPr="007563E3">
        <w:rPr>
          <w:sz w:val="16"/>
          <w:szCs w:val="16"/>
          <w:lang w:val="en-US"/>
        </w:rPr>
        <w:t xml:space="preserve"> IPCC </w:t>
      </w:r>
      <w:r w:rsidR="004939DB" w:rsidRPr="007563E3">
        <w:rPr>
          <w:i/>
          <w:sz w:val="16"/>
          <w:szCs w:val="16"/>
          <w:lang w:val="en-US"/>
        </w:rPr>
        <w:t>Special Report on Renewable Energy Sources and Climate Change Mitigation</w:t>
      </w:r>
      <w:r w:rsidR="004939DB" w:rsidRPr="007563E3">
        <w:rPr>
          <w:sz w:val="16"/>
          <w:szCs w:val="16"/>
          <w:lang w:val="en-US"/>
        </w:rPr>
        <w:t>. Prepared by Working Group III of the Intergovernmental Panel o</w:t>
      </w:r>
      <w:r w:rsidR="00AA0637" w:rsidRPr="007563E3">
        <w:rPr>
          <w:sz w:val="16"/>
          <w:szCs w:val="16"/>
          <w:lang w:val="en-US"/>
        </w:rPr>
        <w:t>n Climate Change</w:t>
      </w:r>
      <w:r w:rsidR="00A96259" w:rsidRPr="007563E3">
        <w:rPr>
          <w:sz w:val="16"/>
          <w:szCs w:val="16"/>
          <w:lang w:val="en-US"/>
        </w:rPr>
        <w:t xml:space="preserve">. Chum, H. et al. </w:t>
      </w:r>
      <w:r w:rsidR="001C23FF" w:rsidRPr="007563E3">
        <w:rPr>
          <w:sz w:val="16"/>
          <w:szCs w:val="16"/>
          <w:lang w:val="en-US"/>
        </w:rPr>
        <w:t xml:space="preserve">Chapter 2, </w:t>
      </w:r>
      <w:proofErr w:type="spellStart"/>
      <w:r w:rsidR="001C23FF" w:rsidRPr="007563E3">
        <w:rPr>
          <w:i/>
          <w:sz w:val="16"/>
          <w:szCs w:val="16"/>
          <w:lang w:val="en-US"/>
        </w:rPr>
        <w:t>Bioenergy</w:t>
      </w:r>
      <w:proofErr w:type="spellEnd"/>
      <w:r w:rsidR="00AA0637" w:rsidRPr="007563E3">
        <w:rPr>
          <w:sz w:val="16"/>
          <w:szCs w:val="16"/>
          <w:lang w:val="en-US"/>
        </w:rPr>
        <w:t xml:space="preserve"> </w:t>
      </w:r>
      <w:r w:rsidR="001C23FF" w:rsidRPr="007563E3">
        <w:rPr>
          <w:sz w:val="16"/>
          <w:szCs w:val="16"/>
          <w:lang w:val="en-US"/>
        </w:rPr>
        <w:t>.</w:t>
      </w:r>
      <w:r w:rsidR="004939DB" w:rsidRPr="007563E3">
        <w:rPr>
          <w:sz w:val="16"/>
          <w:szCs w:val="16"/>
          <w:lang w:val="en-US"/>
        </w:rPr>
        <w:t xml:space="preserve"> Cambridge University Press, Cambridge, United Kingdom and New York, NY, USA, </w:t>
      </w:r>
      <w:r w:rsidR="0034636F" w:rsidRPr="007563E3">
        <w:rPr>
          <w:sz w:val="16"/>
          <w:szCs w:val="16"/>
          <w:lang w:val="en-US"/>
        </w:rPr>
        <w:t>pages 8, 277 and 261</w:t>
      </w:r>
      <w:r w:rsidR="004939DB" w:rsidRPr="007563E3">
        <w:rPr>
          <w:sz w:val="16"/>
          <w:szCs w:val="16"/>
          <w:lang w:val="en-US"/>
        </w:rPr>
        <w:t xml:space="preserve">. </w:t>
      </w:r>
      <w:hyperlink r:id="rId34" w:history="1">
        <w:r w:rsidR="004939DB" w:rsidRPr="007563E3">
          <w:rPr>
            <w:rStyle w:val="Hyperlink"/>
            <w:sz w:val="16"/>
            <w:szCs w:val="16"/>
            <w:lang w:val="en-US"/>
          </w:rPr>
          <w:t>http://srren.ipcc-wg3.de/report</w:t>
        </w:r>
      </w:hyperlink>
    </w:p>
    <w:p w:rsidR="00F8680E" w:rsidRPr="007563E3" w:rsidRDefault="00F8680E" w:rsidP="00634E39">
      <w:pPr>
        <w:spacing w:line="240" w:lineRule="auto"/>
        <w:jc w:val="left"/>
        <w:rPr>
          <w:rStyle w:val="Hyperlink"/>
          <w:sz w:val="16"/>
          <w:szCs w:val="16"/>
          <w:lang w:val="en-US"/>
        </w:rPr>
      </w:pPr>
      <w:r w:rsidRPr="007563E3">
        <w:rPr>
          <w:sz w:val="16"/>
          <w:szCs w:val="16"/>
          <w:lang w:val="en-GB"/>
        </w:rPr>
        <w:t xml:space="preserve">Mc Kay, David (2009) </w:t>
      </w:r>
      <w:r w:rsidRPr="007563E3">
        <w:rPr>
          <w:i/>
          <w:sz w:val="16"/>
          <w:szCs w:val="16"/>
          <w:lang w:val="en-GB"/>
        </w:rPr>
        <w:t>Sustainable energy without the hot air</w:t>
      </w:r>
      <w:r w:rsidRPr="007563E3">
        <w:rPr>
          <w:sz w:val="16"/>
          <w:szCs w:val="16"/>
          <w:lang w:val="en-GB"/>
        </w:rPr>
        <w:t>,</w:t>
      </w:r>
      <w:r w:rsidR="00FC0C94" w:rsidRPr="007563E3">
        <w:rPr>
          <w:sz w:val="16"/>
          <w:szCs w:val="16"/>
          <w:lang w:val="en-GB"/>
        </w:rPr>
        <w:t xml:space="preserve"> p 120-121</w:t>
      </w:r>
      <w:r w:rsidRPr="007563E3">
        <w:rPr>
          <w:sz w:val="16"/>
          <w:szCs w:val="16"/>
          <w:lang w:val="en-GB"/>
        </w:rPr>
        <w:t xml:space="preserve"> </w:t>
      </w:r>
      <w:hyperlink r:id="rId35" w:history="1">
        <w:r w:rsidRPr="007563E3">
          <w:rPr>
            <w:rStyle w:val="Hyperlink"/>
            <w:sz w:val="16"/>
            <w:szCs w:val="16"/>
            <w:lang w:val="en-US"/>
          </w:rPr>
          <w:t>http://www.withouthotair.com/</w:t>
        </w:r>
      </w:hyperlink>
    </w:p>
    <w:p w:rsidR="001459BE" w:rsidRPr="007563E3" w:rsidRDefault="00302BAF" w:rsidP="00634E39">
      <w:pPr>
        <w:spacing w:after="0" w:line="240" w:lineRule="auto"/>
        <w:jc w:val="left"/>
        <w:rPr>
          <w:sz w:val="16"/>
          <w:szCs w:val="16"/>
          <w:lang w:val="en-GB"/>
        </w:rPr>
      </w:pPr>
      <w:r w:rsidRPr="007563E3">
        <w:rPr>
          <w:sz w:val="16"/>
          <w:szCs w:val="16"/>
          <w:lang w:val="en-GB"/>
        </w:rPr>
        <w:t xml:space="preserve">Lee,  </w:t>
      </w:r>
      <w:r w:rsidR="005F527C" w:rsidRPr="007563E3">
        <w:rPr>
          <w:sz w:val="16"/>
          <w:szCs w:val="16"/>
          <w:lang w:val="en-GB"/>
        </w:rPr>
        <w:t xml:space="preserve">David S. </w:t>
      </w:r>
      <w:r w:rsidR="001459BE" w:rsidRPr="007563E3">
        <w:rPr>
          <w:sz w:val="16"/>
          <w:szCs w:val="16"/>
          <w:lang w:val="en-GB"/>
        </w:rPr>
        <w:t>, David W. Fahey, Piers M. Forster, Peter J. Newton, Ron C.N. Wit,</w:t>
      </w:r>
    </w:p>
    <w:p w:rsidR="00302BAF" w:rsidRPr="007563E3" w:rsidRDefault="001459BE" w:rsidP="00634E39">
      <w:pPr>
        <w:spacing w:line="240" w:lineRule="auto"/>
        <w:jc w:val="left"/>
        <w:rPr>
          <w:sz w:val="16"/>
          <w:szCs w:val="16"/>
        </w:rPr>
      </w:pPr>
      <w:r w:rsidRPr="007563E3">
        <w:rPr>
          <w:sz w:val="16"/>
          <w:szCs w:val="16"/>
          <w:lang w:val="en-GB"/>
        </w:rPr>
        <w:t xml:space="preserve">Ling L. Lim, </w:t>
      </w:r>
      <w:proofErr w:type="spellStart"/>
      <w:r w:rsidRPr="007563E3">
        <w:rPr>
          <w:sz w:val="16"/>
          <w:szCs w:val="16"/>
          <w:lang w:val="en-GB"/>
        </w:rPr>
        <w:t>Bethan</w:t>
      </w:r>
      <w:proofErr w:type="spellEnd"/>
      <w:r w:rsidRPr="007563E3">
        <w:rPr>
          <w:sz w:val="16"/>
          <w:szCs w:val="16"/>
          <w:lang w:val="en-GB"/>
        </w:rPr>
        <w:t xml:space="preserve"> </w:t>
      </w:r>
      <w:proofErr w:type="spellStart"/>
      <w:r w:rsidRPr="007563E3">
        <w:rPr>
          <w:sz w:val="16"/>
          <w:szCs w:val="16"/>
          <w:lang w:val="en-GB"/>
        </w:rPr>
        <w:t>Owena</w:t>
      </w:r>
      <w:proofErr w:type="spellEnd"/>
      <w:r w:rsidRPr="007563E3">
        <w:rPr>
          <w:sz w:val="16"/>
          <w:szCs w:val="16"/>
          <w:lang w:val="en-GB"/>
        </w:rPr>
        <w:t xml:space="preserve">, Robert </w:t>
      </w:r>
      <w:proofErr w:type="spellStart"/>
      <w:r w:rsidRPr="007563E3">
        <w:rPr>
          <w:sz w:val="16"/>
          <w:szCs w:val="16"/>
          <w:lang w:val="en-GB"/>
        </w:rPr>
        <w:t>Sausen</w:t>
      </w:r>
      <w:proofErr w:type="spellEnd"/>
      <w:r w:rsidR="00302BAF" w:rsidRPr="007563E3">
        <w:rPr>
          <w:sz w:val="16"/>
          <w:szCs w:val="16"/>
          <w:lang w:val="en-GB"/>
        </w:rPr>
        <w:t>., (2009)</w:t>
      </w:r>
      <w:r w:rsidR="005F527C" w:rsidRPr="007563E3">
        <w:rPr>
          <w:sz w:val="16"/>
          <w:szCs w:val="16"/>
          <w:lang w:val="en-GB"/>
        </w:rPr>
        <w:t xml:space="preserve"> Aviation and global climate change in the 21st century, </w:t>
      </w:r>
      <w:r w:rsidR="005F527C" w:rsidRPr="007563E3">
        <w:rPr>
          <w:i/>
          <w:sz w:val="16"/>
          <w:szCs w:val="16"/>
          <w:lang w:val="en-GB"/>
        </w:rPr>
        <w:t>Atmospheric Environment 43</w:t>
      </w:r>
      <w:r w:rsidR="005F527C" w:rsidRPr="007563E3">
        <w:rPr>
          <w:sz w:val="16"/>
          <w:szCs w:val="16"/>
          <w:lang w:val="en-GB"/>
        </w:rPr>
        <w:t xml:space="preserve"> (2009) 3520–3537, Elsevier.</w:t>
      </w:r>
      <w:r w:rsidR="005F527C" w:rsidRPr="007563E3">
        <w:rPr>
          <w:sz w:val="16"/>
          <w:szCs w:val="16"/>
          <w:lang w:val="en-US"/>
        </w:rPr>
        <w:t xml:space="preserve"> </w:t>
      </w:r>
      <w:hyperlink r:id="rId36" w:history="1">
        <w:r w:rsidR="005F527C" w:rsidRPr="007563E3">
          <w:rPr>
            <w:rStyle w:val="Hyperlink"/>
            <w:sz w:val="16"/>
            <w:szCs w:val="16"/>
          </w:rPr>
          <w:t>http://www.tiaca.org/images/tiaca/PDF/IndustryAffairs/2009%20IPCC%20authors%20update.pdf</w:t>
        </w:r>
      </w:hyperlink>
    </w:p>
    <w:p w:rsidR="00FA31C8" w:rsidRPr="007563E3" w:rsidRDefault="00FA31C8" w:rsidP="00634E39">
      <w:pPr>
        <w:spacing w:line="240" w:lineRule="auto"/>
        <w:jc w:val="left"/>
        <w:rPr>
          <w:sz w:val="16"/>
          <w:szCs w:val="16"/>
          <w:lang w:val="en-US"/>
        </w:rPr>
      </w:pPr>
      <w:r w:rsidRPr="007563E3">
        <w:rPr>
          <w:sz w:val="16"/>
          <w:szCs w:val="16"/>
          <w:lang w:val="en-US"/>
        </w:rPr>
        <w:t xml:space="preserve">Lee, David S. (2012) </w:t>
      </w:r>
      <w:r w:rsidRPr="007563E3">
        <w:rPr>
          <w:i/>
          <w:sz w:val="16"/>
          <w:szCs w:val="16"/>
          <w:lang w:val="en-US"/>
        </w:rPr>
        <w:t>Aviation and Climate change: Impacts and Trends</w:t>
      </w:r>
      <w:r w:rsidRPr="007563E3">
        <w:rPr>
          <w:sz w:val="16"/>
          <w:szCs w:val="16"/>
          <w:lang w:val="en-US"/>
        </w:rPr>
        <w:t xml:space="preserve">.  Manchester Metropolitan University, UK. </w:t>
      </w:r>
      <w:hyperlink r:id="rId37" w:history="1">
        <w:r w:rsidRPr="007563E3">
          <w:rPr>
            <w:rStyle w:val="Hyperlink"/>
            <w:sz w:val="16"/>
            <w:szCs w:val="16"/>
            <w:lang w:val="en-US"/>
          </w:rPr>
          <w:t>http://www.transportenvironment.org/sites/te/files/media/David_Lee_presentation.pdf</w:t>
        </w:r>
      </w:hyperlink>
    </w:p>
    <w:p w:rsidR="00C7561D" w:rsidRPr="007563E3" w:rsidRDefault="00C7561D" w:rsidP="00634E39">
      <w:pPr>
        <w:spacing w:line="240" w:lineRule="auto"/>
        <w:rPr>
          <w:rFonts w:cs="TrebuchetMS"/>
          <w:sz w:val="16"/>
          <w:szCs w:val="16"/>
          <w:lang w:val="en-US"/>
        </w:rPr>
      </w:pPr>
      <w:r w:rsidRPr="007563E3">
        <w:rPr>
          <w:sz w:val="16"/>
          <w:szCs w:val="16"/>
          <w:lang w:val="en-GB"/>
        </w:rPr>
        <w:t xml:space="preserve">Lee’s homepage: </w:t>
      </w:r>
      <w:hyperlink r:id="rId38" w:history="1">
        <w:r w:rsidRPr="007563E3">
          <w:rPr>
            <w:rStyle w:val="Hyperlink"/>
            <w:rFonts w:cs="TrebuchetMS"/>
            <w:sz w:val="16"/>
            <w:szCs w:val="16"/>
            <w:lang w:val="en-US"/>
          </w:rPr>
          <w:t>http://www.cate.mmu.ac.uk/people/professor-david-lee/</w:t>
        </w:r>
      </w:hyperlink>
    </w:p>
    <w:p w:rsidR="00214446" w:rsidRPr="007563E3" w:rsidRDefault="00214446" w:rsidP="00634E39">
      <w:pPr>
        <w:spacing w:line="240" w:lineRule="auto"/>
        <w:jc w:val="left"/>
        <w:rPr>
          <w:sz w:val="16"/>
          <w:szCs w:val="16"/>
          <w:lang w:val="en-GB"/>
        </w:rPr>
      </w:pPr>
      <w:proofErr w:type="spellStart"/>
      <w:r w:rsidRPr="007563E3">
        <w:rPr>
          <w:sz w:val="16"/>
          <w:szCs w:val="16"/>
          <w:lang w:val="en-GB"/>
        </w:rPr>
        <w:t>Lynas</w:t>
      </w:r>
      <w:proofErr w:type="spellEnd"/>
      <w:r w:rsidRPr="007563E3">
        <w:rPr>
          <w:sz w:val="16"/>
          <w:szCs w:val="16"/>
          <w:lang w:val="en-GB"/>
        </w:rPr>
        <w:t xml:space="preserve">, Mark (2007), </w:t>
      </w:r>
      <w:r w:rsidRPr="007563E3">
        <w:rPr>
          <w:i/>
          <w:sz w:val="16"/>
          <w:szCs w:val="16"/>
          <w:lang w:val="en-GB"/>
        </w:rPr>
        <w:t>Six Degrees, our future on a hotter planet</w:t>
      </w:r>
      <w:r w:rsidRPr="007563E3">
        <w:rPr>
          <w:sz w:val="16"/>
          <w:szCs w:val="16"/>
          <w:lang w:val="en-GB"/>
        </w:rPr>
        <w:t>, HarperCollins London</w:t>
      </w:r>
      <w:r w:rsidR="00A620AA" w:rsidRPr="007563E3">
        <w:rPr>
          <w:sz w:val="16"/>
          <w:szCs w:val="16"/>
          <w:lang w:val="en-GB"/>
        </w:rPr>
        <w:t>, page 175.</w:t>
      </w:r>
      <w:r w:rsidR="005F527C" w:rsidRPr="007563E3">
        <w:rPr>
          <w:sz w:val="16"/>
          <w:szCs w:val="16"/>
          <w:lang w:val="en-GB"/>
        </w:rPr>
        <w:t xml:space="preserve"> </w:t>
      </w:r>
      <w:r w:rsidR="00E768F9" w:rsidRPr="007563E3">
        <w:rPr>
          <w:sz w:val="16"/>
          <w:szCs w:val="16"/>
          <w:lang w:val="en-GB"/>
        </w:rPr>
        <w:t>A summarising  explan</w:t>
      </w:r>
      <w:r w:rsidR="00E768F9" w:rsidRPr="007563E3">
        <w:rPr>
          <w:sz w:val="16"/>
          <w:szCs w:val="16"/>
          <w:lang w:val="en-GB"/>
        </w:rPr>
        <w:t>a</w:t>
      </w:r>
      <w:r w:rsidR="00E768F9" w:rsidRPr="007563E3">
        <w:rPr>
          <w:sz w:val="16"/>
          <w:szCs w:val="16"/>
          <w:lang w:val="en-GB"/>
        </w:rPr>
        <w:t xml:space="preserve">tion by </w:t>
      </w:r>
      <w:proofErr w:type="spellStart"/>
      <w:r w:rsidR="00E768F9" w:rsidRPr="007563E3">
        <w:rPr>
          <w:sz w:val="16"/>
          <w:szCs w:val="16"/>
          <w:lang w:val="en-GB"/>
        </w:rPr>
        <w:t>Lynas</w:t>
      </w:r>
      <w:proofErr w:type="spellEnd"/>
      <w:r w:rsidR="00E768F9" w:rsidRPr="007563E3">
        <w:rPr>
          <w:sz w:val="16"/>
          <w:szCs w:val="16"/>
          <w:lang w:val="en-GB"/>
        </w:rPr>
        <w:t xml:space="preserve"> see: </w:t>
      </w:r>
      <w:hyperlink r:id="rId39" w:history="1">
        <w:r w:rsidR="00E768F9" w:rsidRPr="007563E3">
          <w:rPr>
            <w:rStyle w:val="Hyperlink"/>
            <w:sz w:val="16"/>
            <w:szCs w:val="16"/>
            <w:lang w:val="en-GB"/>
          </w:rPr>
          <w:t>http://www.youtube.com/watch?v=XK7sDet8fzw</w:t>
        </w:r>
      </w:hyperlink>
    </w:p>
    <w:p w:rsidR="00FD0194" w:rsidRPr="007563E3" w:rsidRDefault="00214446" w:rsidP="00634E39">
      <w:pPr>
        <w:autoSpaceDE w:val="0"/>
        <w:autoSpaceDN w:val="0"/>
        <w:adjustRightInd w:val="0"/>
        <w:spacing w:line="240" w:lineRule="auto"/>
        <w:jc w:val="left"/>
        <w:rPr>
          <w:sz w:val="16"/>
          <w:szCs w:val="16"/>
          <w:lang w:val="en-US"/>
        </w:rPr>
      </w:pPr>
      <w:r w:rsidRPr="007563E3">
        <w:rPr>
          <w:sz w:val="16"/>
          <w:szCs w:val="16"/>
        </w:rPr>
        <w:t>Manen, Ron van</w:t>
      </w:r>
      <w:r w:rsidR="006634AB" w:rsidRPr="007563E3">
        <w:rPr>
          <w:sz w:val="16"/>
          <w:szCs w:val="16"/>
        </w:rPr>
        <w:t xml:space="preserve">, </w:t>
      </w:r>
      <w:r w:rsidRPr="007563E3">
        <w:rPr>
          <w:sz w:val="16"/>
          <w:szCs w:val="16"/>
        </w:rPr>
        <w:t xml:space="preserve"> </w:t>
      </w:r>
      <w:proofErr w:type="spellStart"/>
      <w:r w:rsidRPr="007563E3">
        <w:rPr>
          <w:sz w:val="16"/>
          <w:szCs w:val="16"/>
        </w:rPr>
        <w:t>presentation</w:t>
      </w:r>
      <w:proofErr w:type="spellEnd"/>
      <w:r w:rsidRPr="007563E3">
        <w:rPr>
          <w:sz w:val="16"/>
          <w:szCs w:val="16"/>
        </w:rPr>
        <w:t xml:space="preserve"> </w:t>
      </w:r>
      <w:r w:rsidR="00B920FE" w:rsidRPr="007563E3">
        <w:rPr>
          <w:sz w:val="16"/>
          <w:szCs w:val="16"/>
        </w:rPr>
        <w:t xml:space="preserve">of Clean </w:t>
      </w:r>
      <w:proofErr w:type="spellStart"/>
      <w:r w:rsidR="00B920FE" w:rsidRPr="007563E3">
        <w:rPr>
          <w:sz w:val="16"/>
          <w:szCs w:val="16"/>
        </w:rPr>
        <w:t>Sky</w:t>
      </w:r>
      <w:proofErr w:type="spellEnd"/>
      <w:r w:rsidR="00B920FE" w:rsidRPr="007563E3">
        <w:rPr>
          <w:sz w:val="16"/>
          <w:szCs w:val="16"/>
        </w:rPr>
        <w:t xml:space="preserve"> </w:t>
      </w:r>
      <w:r w:rsidRPr="007563E3">
        <w:rPr>
          <w:sz w:val="16"/>
          <w:szCs w:val="16"/>
        </w:rPr>
        <w:t>at the RAI symposium 2012 of P</w:t>
      </w:r>
      <w:r w:rsidR="006634AB" w:rsidRPr="007563E3">
        <w:rPr>
          <w:sz w:val="16"/>
          <w:szCs w:val="16"/>
        </w:rPr>
        <w:t xml:space="preserve">latform </w:t>
      </w:r>
      <w:r w:rsidRPr="007563E3">
        <w:rPr>
          <w:sz w:val="16"/>
          <w:szCs w:val="16"/>
        </w:rPr>
        <w:t>D</w:t>
      </w:r>
      <w:r w:rsidR="006634AB" w:rsidRPr="007563E3">
        <w:rPr>
          <w:sz w:val="16"/>
          <w:szCs w:val="16"/>
        </w:rPr>
        <w:t xml:space="preserve">uurzame </w:t>
      </w:r>
      <w:r w:rsidRPr="007563E3">
        <w:rPr>
          <w:sz w:val="16"/>
          <w:szCs w:val="16"/>
        </w:rPr>
        <w:t>L</w:t>
      </w:r>
      <w:r w:rsidR="006634AB" w:rsidRPr="007563E3">
        <w:rPr>
          <w:sz w:val="16"/>
          <w:szCs w:val="16"/>
        </w:rPr>
        <w:t>uchtvaart</w:t>
      </w:r>
      <w:r w:rsidR="0042347A" w:rsidRPr="007563E3">
        <w:rPr>
          <w:sz w:val="16"/>
          <w:szCs w:val="16"/>
        </w:rPr>
        <w:t xml:space="preserve"> (PDL)</w:t>
      </w:r>
      <w:r w:rsidR="006634AB" w:rsidRPr="007563E3">
        <w:rPr>
          <w:sz w:val="16"/>
          <w:szCs w:val="16"/>
        </w:rPr>
        <w:t xml:space="preserve">, Utrecht, </w:t>
      </w:r>
      <w:proofErr w:type="spellStart"/>
      <w:r w:rsidR="006634AB" w:rsidRPr="007563E3">
        <w:rPr>
          <w:sz w:val="16"/>
          <w:szCs w:val="16"/>
        </w:rPr>
        <w:t>Netherlands</w:t>
      </w:r>
      <w:proofErr w:type="spellEnd"/>
      <w:r w:rsidR="008A39B8" w:rsidRPr="007563E3">
        <w:rPr>
          <w:sz w:val="16"/>
          <w:szCs w:val="16"/>
        </w:rPr>
        <w:t xml:space="preserve">. </w:t>
      </w:r>
      <w:r w:rsidR="008A39B8" w:rsidRPr="007563E3">
        <w:rPr>
          <w:sz w:val="16"/>
          <w:szCs w:val="16"/>
          <w:lang w:val="en-US"/>
        </w:rPr>
        <w:t>This is</w:t>
      </w:r>
      <w:r w:rsidR="00FD0194" w:rsidRPr="007563E3">
        <w:rPr>
          <w:sz w:val="16"/>
          <w:szCs w:val="16"/>
          <w:lang w:val="en-US"/>
        </w:rPr>
        <w:t xml:space="preserve"> a Dutch </w:t>
      </w:r>
      <w:proofErr w:type="spellStart"/>
      <w:r w:rsidR="00FD0194" w:rsidRPr="007563E3">
        <w:rPr>
          <w:sz w:val="16"/>
          <w:szCs w:val="16"/>
          <w:lang w:val="en-US"/>
        </w:rPr>
        <w:t>organisation</w:t>
      </w:r>
      <w:proofErr w:type="spellEnd"/>
      <w:r w:rsidR="00FD0194" w:rsidRPr="007563E3">
        <w:rPr>
          <w:sz w:val="16"/>
          <w:szCs w:val="16"/>
          <w:lang w:val="en-US"/>
        </w:rPr>
        <w:t xml:space="preserve"> on sustainability of aviation. </w:t>
      </w:r>
      <w:hyperlink r:id="rId40" w:history="1">
        <w:r w:rsidR="0042347A" w:rsidRPr="007563E3">
          <w:rPr>
            <w:rStyle w:val="Hyperlink"/>
            <w:sz w:val="16"/>
            <w:szCs w:val="16"/>
            <w:lang w:val="en-US"/>
          </w:rPr>
          <w:t>http://www.duurzameluchtvaart.nl/</w:t>
        </w:r>
      </w:hyperlink>
    </w:p>
    <w:p w:rsidR="00A24A81" w:rsidRPr="007563E3" w:rsidRDefault="00EA0F77" w:rsidP="00634E39">
      <w:pPr>
        <w:spacing w:line="240" w:lineRule="auto"/>
        <w:jc w:val="left"/>
        <w:rPr>
          <w:sz w:val="16"/>
          <w:szCs w:val="16"/>
          <w:lang w:val="en-GB"/>
        </w:rPr>
      </w:pPr>
      <w:proofErr w:type="spellStart"/>
      <w:r w:rsidRPr="007563E3">
        <w:rPr>
          <w:sz w:val="16"/>
          <w:szCs w:val="16"/>
          <w:lang w:val="en-GB"/>
        </w:rPr>
        <w:t>Peeters</w:t>
      </w:r>
      <w:proofErr w:type="spellEnd"/>
      <w:r w:rsidRPr="007563E3">
        <w:rPr>
          <w:sz w:val="16"/>
          <w:szCs w:val="16"/>
          <w:lang w:val="en-GB"/>
        </w:rPr>
        <w:t xml:space="preserve"> P.M, </w:t>
      </w:r>
      <w:proofErr w:type="spellStart"/>
      <w:r w:rsidRPr="007563E3">
        <w:rPr>
          <w:sz w:val="16"/>
          <w:szCs w:val="16"/>
          <w:lang w:val="en-GB"/>
        </w:rPr>
        <w:t>Middel</w:t>
      </w:r>
      <w:proofErr w:type="spellEnd"/>
      <w:r w:rsidRPr="007563E3">
        <w:rPr>
          <w:sz w:val="16"/>
          <w:szCs w:val="16"/>
          <w:lang w:val="en-GB"/>
        </w:rPr>
        <w:t xml:space="preserve">  J., </w:t>
      </w:r>
      <w:proofErr w:type="spellStart"/>
      <w:r w:rsidRPr="007563E3">
        <w:rPr>
          <w:sz w:val="16"/>
          <w:szCs w:val="16"/>
          <w:lang w:val="en-GB"/>
        </w:rPr>
        <w:t>Hoolhorst</w:t>
      </w:r>
      <w:proofErr w:type="spellEnd"/>
      <w:r w:rsidRPr="007563E3">
        <w:rPr>
          <w:sz w:val="16"/>
          <w:szCs w:val="16"/>
          <w:lang w:val="en-GB"/>
        </w:rPr>
        <w:t xml:space="preserve">  A. (2005</w:t>
      </w:r>
      <w:r w:rsidR="006B775F" w:rsidRPr="007563E3">
        <w:rPr>
          <w:sz w:val="16"/>
          <w:szCs w:val="16"/>
          <w:lang w:val="en-GB"/>
        </w:rPr>
        <w:t xml:space="preserve">) </w:t>
      </w:r>
      <w:r w:rsidR="00A24A81" w:rsidRPr="007563E3">
        <w:rPr>
          <w:i/>
          <w:sz w:val="16"/>
          <w:szCs w:val="16"/>
          <w:lang w:val="en-GB"/>
        </w:rPr>
        <w:t>Fuel efficiency of commercial aircraft. An overview of historical and future trends</w:t>
      </w:r>
      <w:r w:rsidR="0060736F" w:rsidRPr="007563E3">
        <w:rPr>
          <w:i/>
          <w:sz w:val="16"/>
          <w:szCs w:val="16"/>
          <w:lang w:val="en-GB"/>
        </w:rPr>
        <w:t xml:space="preserve">. </w:t>
      </w:r>
      <w:r w:rsidR="00A24A81" w:rsidRPr="007563E3">
        <w:rPr>
          <w:sz w:val="16"/>
          <w:szCs w:val="16"/>
          <w:lang w:val="en-GB"/>
        </w:rPr>
        <w:t xml:space="preserve"> </w:t>
      </w:r>
      <w:proofErr w:type="spellStart"/>
      <w:r w:rsidR="00A24A81" w:rsidRPr="007563E3">
        <w:rPr>
          <w:sz w:val="16"/>
          <w:szCs w:val="16"/>
          <w:lang w:val="en-GB"/>
        </w:rPr>
        <w:t>Nationaal</w:t>
      </w:r>
      <w:proofErr w:type="spellEnd"/>
      <w:r w:rsidR="00A24A81" w:rsidRPr="007563E3">
        <w:rPr>
          <w:sz w:val="16"/>
          <w:szCs w:val="16"/>
          <w:lang w:val="en-GB"/>
        </w:rPr>
        <w:t xml:space="preserve"> </w:t>
      </w:r>
      <w:proofErr w:type="spellStart"/>
      <w:r w:rsidR="00A24A81" w:rsidRPr="007563E3">
        <w:rPr>
          <w:sz w:val="16"/>
          <w:szCs w:val="16"/>
          <w:lang w:val="en-GB"/>
        </w:rPr>
        <w:t>Lucht</w:t>
      </w:r>
      <w:proofErr w:type="spellEnd"/>
      <w:r w:rsidR="00A24A81" w:rsidRPr="007563E3">
        <w:rPr>
          <w:sz w:val="16"/>
          <w:szCs w:val="16"/>
          <w:lang w:val="en-GB"/>
        </w:rPr>
        <w:t xml:space="preserve">- en </w:t>
      </w:r>
      <w:proofErr w:type="spellStart"/>
      <w:r w:rsidR="00A24A81" w:rsidRPr="007563E3">
        <w:rPr>
          <w:sz w:val="16"/>
          <w:szCs w:val="16"/>
          <w:lang w:val="en-GB"/>
        </w:rPr>
        <w:t>Ruimtevaart</w:t>
      </w:r>
      <w:proofErr w:type="spellEnd"/>
      <w:r w:rsidR="00A24A81" w:rsidRPr="007563E3">
        <w:rPr>
          <w:sz w:val="16"/>
          <w:szCs w:val="16"/>
          <w:lang w:val="en-GB"/>
        </w:rPr>
        <w:t xml:space="preserve"> </w:t>
      </w:r>
      <w:proofErr w:type="spellStart"/>
      <w:r w:rsidR="00A24A81" w:rsidRPr="007563E3">
        <w:rPr>
          <w:sz w:val="16"/>
          <w:szCs w:val="16"/>
          <w:lang w:val="en-GB"/>
        </w:rPr>
        <w:t>Laboratorium</w:t>
      </w:r>
      <w:proofErr w:type="spellEnd"/>
      <w:r w:rsidR="00A24A81" w:rsidRPr="007563E3">
        <w:rPr>
          <w:sz w:val="16"/>
          <w:szCs w:val="16"/>
          <w:lang w:val="en-GB"/>
        </w:rPr>
        <w:t xml:space="preserve"> NLR-CR-2005-669, </w:t>
      </w:r>
      <w:r w:rsidR="0060736F" w:rsidRPr="007563E3">
        <w:rPr>
          <w:sz w:val="16"/>
          <w:szCs w:val="16"/>
          <w:lang w:val="en-GB"/>
        </w:rPr>
        <w:t>Figure 10</w:t>
      </w:r>
      <w:r w:rsidR="009044F1" w:rsidRPr="007563E3">
        <w:rPr>
          <w:sz w:val="16"/>
          <w:szCs w:val="16"/>
          <w:lang w:val="en-GB"/>
        </w:rPr>
        <w:t>, page 22</w:t>
      </w:r>
      <w:r w:rsidR="0060736F" w:rsidRPr="007563E3">
        <w:rPr>
          <w:sz w:val="16"/>
          <w:szCs w:val="16"/>
          <w:lang w:val="en-GB"/>
        </w:rPr>
        <w:t xml:space="preserve">. </w:t>
      </w:r>
      <w:hyperlink r:id="rId41" w:history="1">
        <w:r w:rsidR="00A24A81" w:rsidRPr="007563E3">
          <w:rPr>
            <w:rStyle w:val="Hyperlink"/>
            <w:sz w:val="16"/>
            <w:szCs w:val="16"/>
            <w:lang w:val="en-GB"/>
          </w:rPr>
          <w:t>http://www.transportenvironment.org/sites/default/files/docs/Publications/2005pubs/2005-12_nlr_aviation_fuel_efficiency.pdf</w:t>
        </w:r>
      </w:hyperlink>
    </w:p>
    <w:p w:rsidR="005D3642" w:rsidRPr="007563E3" w:rsidRDefault="00D5702E" w:rsidP="00634E39">
      <w:pPr>
        <w:spacing w:line="240" w:lineRule="auto"/>
        <w:jc w:val="left"/>
        <w:rPr>
          <w:sz w:val="16"/>
          <w:szCs w:val="16"/>
          <w:lang w:val="en-GB"/>
        </w:rPr>
      </w:pPr>
      <w:proofErr w:type="spellStart"/>
      <w:r w:rsidRPr="007563E3">
        <w:rPr>
          <w:sz w:val="16"/>
          <w:szCs w:val="16"/>
          <w:lang w:val="en-GB"/>
        </w:rPr>
        <w:t>Railteam</w:t>
      </w:r>
      <w:proofErr w:type="spellEnd"/>
      <w:r w:rsidRPr="007563E3">
        <w:rPr>
          <w:sz w:val="16"/>
          <w:szCs w:val="16"/>
          <w:lang w:val="en-GB"/>
        </w:rPr>
        <w:t xml:space="preserve">  </w:t>
      </w:r>
      <w:hyperlink r:id="rId42" w:history="1">
        <w:r w:rsidR="004B4DAC" w:rsidRPr="007563E3">
          <w:rPr>
            <w:rStyle w:val="Hyperlink"/>
            <w:sz w:val="16"/>
            <w:szCs w:val="16"/>
            <w:lang w:val="en-GB"/>
          </w:rPr>
          <w:t>http://www.railteam.co.uk/high-speed-travel/sustainable-travel-through-europe/</w:t>
        </w:r>
      </w:hyperlink>
    </w:p>
    <w:p w:rsidR="00BE0271" w:rsidRPr="007563E3" w:rsidRDefault="00BE0271" w:rsidP="00634E39">
      <w:pPr>
        <w:autoSpaceDE w:val="0"/>
        <w:autoSpaceDN w:val="0"/>
        <w:adjustRightInd w:val="0"/>
        <w:spacing w:after="0" w:line="240" w:lineRule="auto"/>
        <w:jc w:val="left"/>
        <w:rPr>
          <w:sz w:val="16"/>
          <w:szCs w:val="16"/>
          <w:lang w:val="en-US"/>
        </w:rPr>
      </w:pPr>
      <w:proofErr w:type="spellStart"/>
      <w:r w:rsidRPr="007563E3">
        <w:rPr>
          <w:sz w:val="16"/>
          <w:szCs w:val="16"/>
          <w:lang w:val="en-US"/>
        </w:rPr>
        <w:t>Sausen</w:t>
      </w:r>
      <w:proofErr w:type="spellEnd"/>
      <w:r w:rsidRPr="007563E3">
        <w:rPr>
          <w:sz w:val="16"/>
          <w:szCs w:val="16"/>
          <w:lang w:val="en-US"/>
        </w:rPr>
        <w:t xml:space="preserve"> et al. </w:t>
      </w:r>
      <w:r w:rsidR="003F11D0" w:rsidRPr="007563E3">
        <w:rPr>
          <w:sz w:val="16"/>
          <w:szCs w:val="16"/>
          <w:lang w:val="en-US"/>
        </w:rPr>
        <w:t xml:space="preserve">(2005) </w:t>
      </w:r>
      <w:r w:rsidRPr="007563E3">
        <w:rPr>
          <w:sz w:val="16"/>
          <w:szCs w:val="16"/>
          <w:lang w:val="en-US"/>
        </w:rPr>
        <w:t xml:space="preserve">Aviation </w:t>
      </w:r>
      <w:proofErr w:type="spellStart"/>
      <w:r w:rsidRPr="007563E3">
        <w:rPr>
          <w:sz w:val="16"/>
          <w:szCs w:val="16"/>
          <w:lang w:val="en-US"/>
        </w:rPr>
        <w:t>radiative</w:t>
      </w:r>
      <w:proofErr w:type="spellEnd"/>
      <w:r w:rsidRPr="007563E3">
        <w:rPr>
          <w:sz w:val="16"/>
          <w:szCs w:val="16"/>
          <w:lang w:val="en-US"/>
        </w:rPr>
        <w:t xml:space="preserve"> forcing in 2000: An update on IPCC (1999),</w:t>
      </w:r>
      <w:r w:rsidRPr="007563E3">
        <w:rPr>
          <w:rFonts w:cs="Times-Roman"/>
          <w:sz w:val="16"/>
          <w:szCs w:val="16"/>
          <w:lang w:val="en-US"/>
        </w:rPr>
        <w:t xml:space="preserve"> </w:t>
      </w:r>
      <w:proofErr w:type="spellStart"/>
      <w:r w:rsidRPr="007563E3">
        <w:rPr>
          <w:i/>
          <w:sz w:val="16"/>
          <w:szCs w:val="16"/>
          <w:lang w:val="en-US"/>
        </w:rPr>
        <w:t>Meteorologische</w:t>
      </w:r>
      <w:proofErr w:type="spellEnd"/>
      <w:r w:rsidRPr="007563E3">
        <w:rPr>
          <w:i/>
          <w:sz w:val="16"/>
          <w:szCs w:val="16"/>
          <w:lang w:val="en-US"/>
        </w:rPr>
        <w:t xml:space="preserve"> </w:t>
      </w:r>
      <w:proofErr w:type="spellStart"/>
      <w:r w:rsidRPr="007563E3">
        <w:rPr>
          <w:i/>
          <w:sz w:val="16"/>
          <w:szCs w:val="16"/>
          <w:lang w:val="en-US"/>
        </w:rPr>
        <w:t>Zeitschrift</w:t>
      </w:r>
      <w:proofErr w:type="spellEnd"/>
      <w:r w:rsidRPr="007563E3">
        <w:rPr>
          <w:sz w:val="16"/>
          <w:szCs w:val="16"/>
          <w:lang w:val="en-US"/>
        </w:rPr>
        <w:t xml:space="preserve">, Vol. 14, No. 4, 555-561 (August 2005) </w:t>
      </w:r>
    </w:p>
    <w:p w:rsidR="00BE0271" w:rsidRPr="007563E3" w:rsidRDefault="007453DE" w:rsidP="00634E39">
      <w:pPr>
        <w:spacing w:line="240" w:lineRule="auto"/>
        <w:jc w:val="left"/>
        <w:rPr>
          <w:sz w:val="16"/>
          <w:szCs w:val="16"/>
          <w:lang w:val="en-US"/>
        </w:rPr>
      </w:pPr>
      <w:hyperlink r:id="rId43" w:history="1">
        <w:r w:rsidR="00BE0271" w:rsidRPr="007563E3">
          <w:rPr>
            <w:rStyle w:val="Hyperlink"/>
            <w:sz w:val="16"/>
            <w:szCs w:val="16"/>
            <w:lang w:val="en-US"/>
          </w:rPr>
          <w:t>http://docserver.ingentaconnect.com/deliver/connect/schweiz/09412948/v14n4/s13.pdf?expires=1357224145&amp;id=72246027&amp;titleid=1292&amp;accname=Guest+User&amp;checksum=AAFEF8FE6E17D312734CE99F14E01FEE</w:t>
        </w:r>
      </w:hyperlink>
    </w:p>
    <w:p w:rsidR="009C1BBA" w:rsidRPr="007563E3" w:rsidRDefault="009C1BBA" w:rsidP="00634E39">
      <w:pPr>
        <w:spacing w:line="240" w:lineRule="auto"/>
        <w:jc w:val="left"/>
        <w:rPr>
          <w:sz w:val="16"/>
          <w:szCs w:val="16"/>
          <w:lang w:val="en-US"/>
        </w:rPr>
      </w:pPr>
      <w:proofErr w:type="spellStart"/>
      <w:r w:rsidRPr="007563E3">
        <w:rPr>
          <w:sz w:val="16"/>
          <w:szCs w:val="16"/>
          <w:lang w:val="en-US"/>
        </w:rPr>
        <w:t>Schiphol</w:t>
      </w:r>
      <w:proofErr w:type="spellEnd"/>
      <w:r w:rsidRPr="007563E3">
        <w:rPr>
          <w:sz w:val="16"/>
          <w:szCs w:val="16"/>
          <w:lang w:val="en-US"/>
        </w:rPr>
        <w:t xml:space="preserve"> Traffic Review 2011, </w:t>
      </w:r>
      <w:hyperlink r:id="rId44" w:history="1">
        <w:r w:rsidRPr="007563E3">
          <w:rPr>
            <w:rStyle w:val="Hyperlink"/>
            <w:sz w:val="16"/>
            <w:szCs w:val="16"/>
            <w:lang w:val="en-US"/>
          </w:rPr>
          <w:t>http://www.schiphol.nl/B2B/Cargo/CargoNews2/2011TrafficReviewAvailable.htm</w:t>
        </w:r>
      </w:hyperlink>
    </w:p>
    <w:p w:rsidR="00E30233" w:rsidRPr="007563E3" w:rsidRDefault="00E30233" w:rsidP="00634E39">
      <w:pPr>
        <w:spacing w:line="240" w:lineRule="auto"/>
        <w:jc w:val="left"/>
        <w:rPr>
          <w:sz w:val="16"/>
          <w:szCs w:val="16"/>
        </w:rPr>
      </w:pPr>
      <w:r w:rsidRPr="007563E3">
        <w:rPr>
          <w:sz w:val="16"/>
          <w:szCs w:val="16"/>
          <w:lang w:val="en-GB"/>
        </w:rPr>
        <w:t xml:space="preserve">Stern, Nicolas (2013) </w:t>
      </w:r>
      <w:r w:rsidRPr="007563E3">
        <w:rPr>
          <w:i/>
          <w:sz w:val="16"/>
          <w:szCs w:val="16"/>
          <w:lang w:val="en-GB"/>
        </w:rPr>
        <w:t>'I got it wrong on climate change – it's far, far worse'</w:t>
      </w:r>
      <w:r w:rsidRPr="007563E3">
        <w:rPr>
          <w:sz w:val="16"/>
          <w:szCs w:val="16"/>
          <w:lang w:val="en-GB"/>
        </w:rPr>
        <w:t xml:space="preserve">. Interview at the World Economic Forum in </w:t>
      </w:r>
      <w:hyperlink r:id="rId45" w:tooltip="More from guardian.co.uk on Davos" w:history="1">
        <w:r w:rsidRPr="007563E3">
          <w:rPr>
            <w:sz w:val="16"/>
            <w:szCs w:val="16"/>
            <w:lang w:val="en-GB"/>
          </w:rPr>
          <w:t>Davos</w:t>
        </w:r>
      </w:hyperlink>
      <w:r w:rsidRPr="007563E3">
        <w:rPr>
          <w:sz w:val="16"/>
          <w:szCs w:val="16"/>
          <w:lang w:val="en-GB"/>
        </w:rPr>
        <w:t xml:space="preserve">, The Guardian. </w:t>
      </w:r>
      <w:hyperlink r:id="rId46" w:history="1">
        <w:r w:rsidRPr="007563E3">
          <w:rPr>
            <w:rStyle w:val="Hyperlink"/>
            <w:sz w:val="16"/>
            <w:szCs w:val="16"/>
          </w:rPr>
          <w:t>http://www.guardian.co.uk/environment/2013/jan/27/nicholas-stern-climate-change-davos</w:t>
        </w:r>
      </w:hyperlink>
    </w:p>
    <w:p w:rsidR="00A15CDF" w:rsidRPr="007563E3" w:rsidRDefault="001A7965" w:rsidP="00634E39">
      <w:pPr>
        <w:spacing w:after="0" w:line="240" w:lineRule="auto"/>
        <w:jc w:val="left"/>
        <w:rPr>
          <w:sz w:val="16"/>
          <w:szCs w:val="16"/>
          <w:lang w:val="en-US"/>
        </w:rPr>
      </w:pPr>
      <w:r w:rsidRPr="007563E3">
        <w:rPr>
          <w:sz w:val="16"/>
          <w:szCs w:val="16"/>
          <w:lang w:val="en-GB"/>
        </w:rPr>
        <w:t xml:space="preserve">World Bank, 2012, </w:t>
      </w:r>
      <w:r w:rsidRPr="007563E3">
        <w:rPr>
          <w:i/>
          <w:sz w:val="16"/>
          <w:szCs w:val="16"/>
          <w:lang w:val="en-GB"/>
        </w:rPr>
        <w:t xml:space="preserve">New Report Examines Risks of 4 Degree Hotter World by End of Century. </w:t>
      </w:r>
    </w:p>
    <w:p w:rsidR="00F8680E" w:rsidRPr="007563E3" w:rsidRDefault="007453DE" w:rsidP="00634E39">
      <w:pPr>
        <w:spacing w:after="200" w:line="240" w:lineRule="auto"/>
        <w:jc w:val="left"/>
        <w:rPr>
          <w:sz w:val="16"/>
          <w:szCs w:val="16"/>
          <w:lang w:val="en-US"/>
        </w:rPr>
      </w:pPr>
      <w:hyperlink r:id="rId47" w:history="1">
        <w:r w:rsidR="00162069" w:rsidRPr="007563E3">
          <w:rPr>
            <w:rStyle w:val="Hyperlink"/>
            <w:sz w:val="16"/>
            <w:szCs w:val="16"/>
            <w:lang w:val="en-US"/>
          </w:rPr>
          <w:t>http://climatechange.worldbank.org/content/climate-change-report-warns-dramatically-warmer-world-century</w:t>
        </w:r>
      </w:hyperlink>
    </w:p>
    <w:p w:rsidR="00A7146D" w:rsidRDefault="00580509" w:rsidP="00580509">
      <w:pPr>
        <w:pStyle w:val="Kop2"/>
        <w:rPr>
          <w:lang w:val="en-US"/>
        </w:rPr>
      </w:pPr>
      <w:bookmarkStart w:id="15" w:name="_Toc349748374"/>
      <w:proofErr w:type="spellStart"/>
      <w:r>
        <w:rPr>
          <w:lang w:val="en-US"/>
        </w:rPr>
        <w:lastRenderedPageBreak/>
        <w:t>Afkortingen</w:t>
      </w:r>
      <w:bookmarkEnd w:id="15"/>
      <w:proofErr w:type="spellEnd"/>
    </w:p>
    <w:p w:rsidR="00A7146D" w:rsidRPr="00634E39" w:rsidRDefault="00A7146D" w:rsidP="00A7146D">
      <w:pPr>
        <w:rPr>
          <w:sz w:val="18"/>
          <w:szCs w:val="18"/>
          <w:lang w:val="en-US"/>
        </w:rPr>
      </w:pPr>
      <w:r w:rsidRPr="00634E39">
        <w:rPr>
          <w:sz w:val="18"/>
          <w:szCs w:val="18"/>
          <w:lang w:val="en-US"/>
        </w:rPr>
        <w:t>ASK</w:t>
      </w:r>
      <w:r w:rsidRPr="00634E39">
        <w:rPr>
          <w:sz w:val="18"/>
          <w:szCs w:val="18"/>
          <w:lang w:val="en-US"/>
        </w:rPr>
        <w:tab/>
      </w:r>
      <w:r w:rsidRPr="00634E39">
        <w:rPr>
          <w:sz w:val="18"/>
          <w:szCs w:val="18"/>
          <w:lang w:val="en-US"/>
        </w:rPr>
        <w:tab/>
        <w:t>Available Seat Kilometer</w:t>
      </w:r>
    </w:p>
    <w:p w:rsidR="00A7146D" w:rsidRPr="00634E39" w:rsidRDefault="00A7146D" w:rsidP="00A7146D">
      <w:pPr>
        <w:rPr>
          <w:sz w:val="18"/>
          <w:szCs w:val="18"/>
          <w:lang w:val="en-US"/>
        </w:rPr>
      </w:pPr>
      <w:proofErr w:type="spellStart"/>
      <w:r w:rsidRPr="00634E39">
        <w:rPr>
          <w:sz w:val="18"/>
          <w:szCs w:val="18"/>
          <w:lang w:val="en-US"/>
        </w:rPr>
        <w:t>Acare</w:t>
      </w:r>
      <w:proofErr w:type="spellEnd"/>
      <w:r w:rsidRPr="00634E39">
        <w:rPr>
          <w:sz w:val="18"/>
          <w:szCs w:val="18"/>
          <w:lang w:val="en-US"/>
        </w:rPr>
        <w:tab/>
      </w:r>
      <w:r w:rsidRPr="00634E39">
        <w:rPr>
          <w:sz w:val="18"/>
          <w:szCs w:val="18"/>
          <w:lang w:val="en-US"/>
        </w:rPr>
        <w:tab/>
        <w:t>Advisory Council for Aeronautics Research in Europe</w:t>
      </w:r>
    </w:p>
    <w:p w:rsidR="00A7146D" w:rsidRPr="00634E39" w:rsidRDefault="00A7146D" w:rsidP="00A7146D">
      <w:pPr>
        <w:rPr>
          <w:sz w:val="18"/>
          <w:szCs w:val="18"/>
          <w:lang w:val="en-GB"/>
        </w:rPr>
      </w:pPr>
      <w:proofErr w:type="spellStart"/>
      <w:r w:rsidRPr="00634E39">
        <w:rPr>
          <w:sz w:val="18"/>
          <w:szCs w:val="18"/>
          <w:lang w:val="en-GB"/>
        </w:rPr>
        <w:t>BtL</w:t>
      </w:r>
      <w:proofErr w:type="spellEnd"/>
      <w:r w:rsidRPr="00634E39">
        <w:rPr>
          <w:sz w:val="18"/>
          <w:szCs w:val="18"/>
          <w:lang w:val="en-GB"/>
        </w:rPr>
        <w:tab/>
      </w:r>
      <w:r w:rsidRPr="00634E39">
        <w:rPr>
          <w:sz w:val="18"/>
          <w:szCs w:val="18"/>
          <w:lang w:val="en-GB"/>
        </w:rPr>
        <w:tab/>
        <w:t>Biomass-to-liquids</w:t>
      </w:r>
    </w:p>
    <w:p w:rsidR="00A7146D" w:rsidRPr="00634E39" w:rsidRDefault="00A7146D" w:rsidP="00A7146D">
      <w:pPr>
        <w:rPr>
          <w:sz w:val="18"/>
          <w:szCs w:val="18"/>
          <w:lang w:val="en-US"/>
        </w:rPr>
      </w:pPr>
      <w:r w:rsidRPr="00634E39">
        <w:rPr>
          <w:sz w:val="18"/>
          <w:szCs w:val="18"/>
          <w:lang w:val="en-GB"/>
        </w:rPr>
        <w:t>CO</w:t>
      </w:r>
      <w:r w:rsidRPr="00634E39">
        <w:rPr>
          <w:sz w:val="18"/>
          <w:szCs w:val="18"/>
          <w:vertAlign w:val="subscript"/>
          <w:lang w:val="en-GB"/>
        </w:rPr>
        <w:t>2</w:t>
      </w:r>
      <w:r w:rsidRPr="00634E39">
        <w:rPr>
          <w:sz w:val="18"/>
          <w:szCs w:val="18"/>
          <w:lang w:val="en-US"/>
        </w:rPr>
        <w:t xml:space="preserve"> eq.</w:t>
      </w:r>
      <w:r w:rsidRPr="00634E39">
        <w:rPr>
          <w:sz w:val="18"/>
          <w:szCs w:val="18"/>
          <w:lang w:val="en-US"/>
        </w:rPr>
        <w:tab/>
      </w:r>
      <w:r w:rsidRPr="00634E39">
        <w:rPr>
          <w:sz w:val="18"/>
          <w:szCs w:val="18"/>
          <w:lang w:val="en-US"/>
        </w:rPr>
        <w:tab/>
      </w:r>
      <w:r w:rsidRPr="00634E39">
        <w:rPr>
          <w:sz w:val="18"/>
          <w:szCs w:val="18"/>
          <w:lang w:val="en-GB"/>
        </w:rPr>
        <w:t>CO</w:t>
      </w:r>
      <w:r w:rsidRPr="00634E39">
        <w:rPr>
          <w:sz w:val="18"/>
          <w:szCs w:val="18"/>
          <w:vertAlign w:val="subscript"/>
          <w:lang w:val="en-GB"/>
        </w:rPr>
        <w:t>2</w:t>
      </w:r>
      <w:r w:rsidRPr="00634E39">
        <w:rPr>
          <w:sz w:val="18"/>
          <w:szCs w:val="18"/>
          <w:lang w:val="en-US"/>
        </w:rPr>
        <w:t xml:space="preserve"> equivalents </w:t>
      </w:r>
    </w:p>
    <w:p w:rsidR="00A7146D" w:rsidRPr="00634E39" w:rsidRDefault="00A7146D" w:rsidP="00A7146D">
      <w:pPr>
        <w:rPr>
          <w:sz w:val="18"/>
          <w:szCs w:val="18"/>
          <w:lang w:val="en-US"/>
        </w:rPr>
      </w:pPr>
      <w:r w:rsidRPr="00634E39">
        <w:rPr>
          <w:sz w:val="18"/>
          <w:szCs w:val="18"/>
          <w:lang w:val="en-US"/>
        </w:rPr>
        <w:t xml:space="preserve">EC </w:t>
      </w:r>
      <w:r w:rsidRPr="00634E39">
        <w:rPr>
          <w:sz w:val="18"/>
          <w:szCs w:val="18"/>
          <w:lang w:val="en-US"/>
        </w:rPr>
        <w:tab/>
      </w:r>
      <w:r w:rsidRPr="00634E39">
        <w:rPr>
          <w:sz w:val="18"/>
          <w:szCs w:val="18"/>
          <w:lang w:val="en-US"/>
        </w:rPr>
        <w:tab/>
        <w:t>European Committee</w:t>
      </w:r>
    </w:p>
    <w:p w:rsidR="00A7146D" w:rsidRPr="00634E39" w:rsidRDefault="00A7146D" w:rsidP="00A7146D">
      <w:pPr>
        <w:rPr>
          <w:rFonts w:cs="StoneSansITCTTMedium"/>
          <w:sz w:val="18"/>
          <w:szCs w:val="18"/>
          <w:lang w:val="en-US"/>
        </w:rPr>
      </w:pPr>
      <w:r w:rsidRPr="00634E39">
        <w:rPr>
          <w:sz w:val="18"/>
          <w:szCs w:val="18"/>
          <w:lang w:val="en-US"/>
        </w:rPr>
        <w:t>EJ</w:t>
      </w:r>
      <w:r w:rsidRPr="00634E39">
        <w:rPr>
          <w:rFonts w:cs="StoneSansITCTTMedium"/>
          <w:sz w:val="18"/>
          <w:szCs w:val="18"/>
          <w:lang w:val="en-US"/>
        </w:rPr>
        <w:t xml:space="preserve">  </w:t>
      </w:r>
      <w:r w:rsidRPr="00634E39">
        <w:rPr>
          <w:rFonts w:cs="StoneSansITCTTMedium"/>
          <w:sz w:val="18"/>
          <w:szCs w:val="18"/>
          <w:lang w:val="en-US"/>
        </w:rPr>
        <w:tab/>
      </w:r>
      <w:r w:rsidRPr="00634E39">
        <w:rPr>
          <w:rFonts w:cs="StoneSansITCTTMedium"/>
          <w:sz w:val="18"/>
          <w:szCs w:val="18"/>
          <w:lang w:val="en-US"/>
        </w:rPr>
        <w:tab/>
      </w:r>
      <w:proofErr w:type="spellStart"/>
      <w:r w:rsidRPr="00634E39">
        <w:rPr>
          <w:rFonts w:cs="StoneSansITCTTMedium"/>
          <w:sz w:val="18"/>
          <w:szCs w:val="18"/>
          <w:lang w:val="en-US"/>
        </w:rPr>
        <w:t>Exajoule</w:t>
      </w:r>
      <w:proofErr w:type="spellEnd"/>
    </w:p>
    <w:p w:rsidR="00A7146D" w:rsidRPr="00634E39" w:rsidRDefault="00A7146D" w:rsidP="00A7146D">
      <w:pPr>
        <w:rPr>
          <w:sz w:val="18"/>
          <w:szCs w:val="18"/>
          <w:lang w:val="en-US"/>
        </w:rPr>
      </w:pPr>
      <w:r w:rsidRPr="00634E39">
        <w:rPr>
          <w:sz w:val="18"/>
          <w:szCs w:val="18"/>
          <w:lang w:val="en-US"/>
        </w:rPr>
        <w:t xml:space="preserve">FAME </w:t>
      </w:r>
      <w:r w:rsidRPr="00634E39">
        <w:rPr>
          <w:sz w:val="18"/>
          <w:szCs w:val="18"/>
          <w:lang w:val="en-US"/>
        </w:rPr>
        <w:tab/>
      </w:r>
      <w:r w:rsidRPr="00634E39">
        <w:rPr>
          <w:sz w:val="18"/>
          <w:szCs w:val="18"/>
          <w:lang w:val="en-US"/>
        </w:rPr>
        <w:tab/>
        <w:t xml:space="preserve">Fatty Acid Methyl </w:t>
      </w:r>
      <w:proofErr w:type="spellStart"/>
      <w:r w:rsidRPr="00634E39">
        <w:rPr>
          <w:sz w:val="18"/>
          <w:szCs w:val="18"/>
          <w:lang w:val="en-US"/>
        </w:rPr>
        <w:t>Esthers</w:t>
      </w:r>
      <w:proofErr w:type="spellEnd"/>
    </w:p>
    <w:p w:rsidR="00A7146D" w:rsidRPr="00634E39" w:rsidRDefault="00A7146D" w:rsidP="00A7146D">
      <w:pPr>
        <w:rPr>
          <w:sz w:val="18"/>
          <w:szCs w:val="18"/>
          <w:lang w:val="en-US"/>
        </w:rPr>
      </w:pPr>
      <w:r w:rsidRPr="00634E39">
        <w:rPr>
          <w:sz w:val="18"/>
          <w:szCs w:val="18"/>
          <w:lang w:val="en-US"/>
        </w:rPr>
        <w:t>GHG</w:t>
      </w:r>
      <w:r w:rsidRPr="00634E39">
        <w:rPr>
          <w:sz w:val="18"/>
          <w:szCs w:val="18"/>
          <w:lang w:val="en-US"/>
        </w:rPr>
        <w:tab/>
      </w:r>
      <w:r w:rsidRPr="00634E39">
        <w:rPr>
          <w:sz w:val="18"/>
          <w:szCs w:val="18"/>
          <w:lang w:val="en-US"/>
        </w:rPr>
        <w:tab/>
        <w:t>Green House Gasses</w:t>
      </w:r>
    </w:p>
    <w:p w:rsidR="00A7146D" w:rsidRPr="00634E39" w:rsidRDefault="00A7146D" w:rsidP="00A7146D">
      <w:pPr>
        <w:rPr>
          <w:sz w:val="18"/>
          <w:szCs w:val="18"/>
          <w:lang w:val="en-US"/>
        </w:rPr>
      </w:pPr>
      <w:proofErr w:type="spellStart"/>
      <w:r w:rsidRPr="00634E39">
        <w:rPr>
          <w:sz w:val="18"/>
          <w:szCs w:val="18"/>
          <w:lang w:val="en-US"/>
        </w:rPr>
        <w:t>Gt</w:t>
      </w:r>
      <w:proofErr w:type="spellEnd"/>
      <w:r w:rsidRPr="00634E39">
        <w:rPr>
          <w:sz w:val="18"/>
          <w:szCs w:val="18"/>
          <w:lang w:val="en-US"/>
        </w:rPr>
        <w:tab/>
      </w:r>
      <w:r w:rsidRPr="00634E39">
        <w:rPr>
          <w:sz w:val="18"/>
          <w:szCs w:val="18"/>
          <w:lang w:val="en-US"/>
        </w:rPr>
        <w:tab/>
      </w:r>
      <w:proofErr w:type="spellStart"/>
      <w:r w:rsidRPr="00634E39">
        <w:rPr>
          <w:sz w:val="18"/>
          <w:szCs w:val="18"/>
          <w:lang w:val="en-US"/>
        </w:rPr>
        <w:t>Gigaton</w:t>
      </w:r>
      <w:proofErr w:type="spellEnd"/>
    </w:p>
    <w:p w:rsidR="00A7146D" w:rsidRPr="00634E39" w:rsidRDefault="00A7146D" w:rsidP="00A7146D">
      <w:pPr>
        <w:rPr>
          <w:sz w:val="18"/>
          <w:szCs w:val="18"/>
          <w:lang w:val="en-US"/>
        </w:rPr>
      </w:pPr>
      <w:r w:rsidRPr="00634E39">
        <w:rPr>
          <w:sz w:val="18"/>
          <w:szCs w:val="18"/>
          <w:lang w:val="en-US"/>
        </w:rPr>
        <w:t>HVO</w:t>
      </w:r>
      <w:r w:rsidRPr="00634E39">
        <w:rPr>
          <w:sz w:val="18"/>
          <w:szCs w:val="18"/>
          <w:lang w:val="en-US"/>
        </w:rPr>
        <w:tab/>
      </w:r>
      <w:r w:rsidRPr="00634E39">
        <w:rPr>
          <w:sz w:val="18"/>
          <w:szCs w:val="18"/>
          <w:lang w:val="en-US"/>
        </w:rPr>
        <w:tab/>
      </w:r>
      <w:proofErr w:type="spellStart"/>
      <w:r w:rsidRPr="00634E39">
        <w:rPr>
          <w:sz w:val="18"/>
          <w:szCs w:val="18"/>
          <w:lang w:val="en-US"/>
        </w:rPr>
        <w:t>Hydrotreated</w:t>
      </w:r>
      <w:proofErr w:type="spellEnd"/>
      <w:r w:rsidRPr="00634E39">
        <w:rPr>
          <w:sz w:val="18"/>
          <w:szCs w:val="18"/>
          <w:lang w:val="en-US"/>
        </w:rPr>
        <w:t xml:space="preserve"> Vegetable Oil</w:t>
      </w:r>
    </w:p>
    <w:p w:rsidR="00A7146D" w:rsidRPr="00634E39" w:rsidRDefault="00A7146D" w:rsidP="00A7146D">
      <w:pPr>
        <w:rPr>
          <w:sz w:val="18"/>
          <w:szCs w:val="18"/>
          <w:lang w:val="en-US"/>
        </w:rPr>
      </w:pPr>
      <w:r w:rsidRPr="00634E39">
        <w:rPr>
          <w:sz w:val="18"/>
          <w:szCs w:val="18"/>
          <w:lang w:val="en-US"/>
        </w:rPr>
        <w:t>IATA`</w:t>
      </w:r>
      <w:r w:rsidRPr="00634E39">
        <w:rPr>
          <w:sz w:val="18"/>
          <w:szCs w:val="18"/>
          <w:lang w:val="en-US"/>
        </w:rPr>
        <w:tab/>
      </w:r>
      <w:r w:rsidRPr="00634E39">
        <w:rPr>
          <w:sz w:val="18"/>
          <w:szCs w:val="18"/>
          <w:lang w:val="en-US"/>
        </w:rPr>
        <w:tab/>
        <w:t>International Air Transport Association</w:t>
      </w:r>
    </w:p>
    <w:p w:rsidR="00A7146D" w:rsidRPr="00634E39" w:rsidRDefault="00A7146D" w:rsidP="00A7146D">
      <w:pPr>
        <w:rPr>
          <w:sz w:val="18"/>
          <w:szCs w:val="18"/>
          <w:lang w:val="en-US"/>
        </w:rPr>
      </w:pPr>
      <w:r w:rsidRPr="00634E39">
        <w:rPr>
          <w:sz w:val="18"/>
          <w:szCs w:val="18"/>
          <w:lang w:val="en-US"/>
        </w:rPr>
        <w:t>ICAO</w:t>
      </w:r>
      <w:r w:rsidRPr="00634E39">
        <w:rPr>
          <w:sz w:val="18"/>
          <w:szCs w:val="18"/>
          <w:lang w:val="en-US"/>
        </w:rPr>
        <w:tab/>
      </w:r>
      <w:r w:rsidRPr="00634E39">
        <w:rPr>
          <w:sz w:val="18"/>
          <w:szCs w:val="18"/>
          <w:lang w:val="en-US"/>
        </w:rPr>
        <w:tab/>
      </w:r>
      <w:r w:rsidRPr="00634E39">
        <w:rPr>
          <w:sz w:val="18"/>
          <w:szCs w:val="18"/>
          <w:lang w:val="en-GB"/>
        </w:rPr>
        <w:t>International Civil Aviation Organization</w:t>
      </w:r>
    </w:p>
    <w:p w:rsidR="00A7146D" w:rsidRPr="00634E39" w:rsidRDefault="00A7146D" w:rsidP="00A7146D">
      <w:pPr>
        <w:rPr>
          <w:sz w:val="18"/>
          <w:szCs w:val="18"/>
          <w:lang w:val="en-US"/>
        </w:rPr>
      </w:pPr>
      <w:r w:rsidRPr="00634E39">
        <w:rPr>
          <w:sz w:val="18"/>
          <w:szCs w:val="18"/>
          <w:lang w:val="en-US"/>
        </w:rPr>
        <w:t>IEA</w:t>
      </w:r>
      <w:r w:rsidRPr="00634E39">
        <w:rPr>
          <w:sz w:val="18"/>
          <w:szCs w:val="18"/>
          <w:lang w:val="en-US"/>
        </w:rPr>
        <w:tab/>
      </w:r>
      <w:r w:rsidRPr="00634E39">
        <w:rPr>
          <w:sz w:val="18"/>
          <w:szCs w:val="18"/>
          <w:lang w:val="en-US"/>
        </w:rPr>
        <w:tab/>
        <w:t>International Energy Agency</w:t>
      </w:r>
    </w:p>
    <w:p w:rsidR="00A7146D" w:rsidRPr="00634E39" w:rsidRDefault="00A7146D" w:rsidP="00A7146D">
      <w:pPr>
        <w:rPr>
          <w:sz w:val="18"/>
          <w:szCs w:val="18"/>
          <w:lang w:val="en-US"/>
        </w:rPr>
      </w:pPr>
      <w:r w:rsidRPr="00634E39">
        <w:rPr>
          <w:sz w:val="18"/>
          <w:szCs w:val="18"/>
          <w:lang w:val="en-US"/>
        </w:rPr>
        <w:t>IMF</w:t>
      </w:r>
      <w:r w:rsidRPr="00634E39">
        <w:rPr>
          <w:sz w:val="18"/>
          <w:szCs w:val="18"/>
          <w:lang w:val="en-US"/>
        </w:rPr>
        <w:tab/>
      </w:r>
      <w:r w:rsidRPr="00634E39">
        <w:rPr>
          <w:sz w:val="18"/>
          <w:szCs w:val="18"/>
          <w:lang w:val="en-US"/>
        </w:rPr>
        <w:tab/>
        <w:t>International Monetary Fund</w:t>
      </w:r>
    </w:p>
    <w:p w:rsidR="00A7146D" w:rsidRPr="00634E39" w:rsidRDefault="00A7146D" w:rsidP="00A7146D">
      <w:pPr>
        <w:rPr>
          <w:sz w:val="18"/>
          <w:szCs w:val="18"/>
          <w:lang w:val="en-US"/>
        </w:rPr>
      </w:pPr>
      <w:r w:rsidRPr="00634E39">
        <w:rPr>
          <w:sz w:val="18"/>
          <w:szCs w:val="18"/>
          <w:lang w:val="en-US"/>
        </w:rPr>
        <w:t>IPCC</w:t>
      </w:r>
      <w:r w:rsidRPr="00634E39">
        <w:rPr>
          <w:sz w:val="18"/>
          <w:szCs w:val="18"/>
          <w:lang w:val="en-US"/>
        </w:rPr>
        <w:tab/>
      </w:r>
      <w:r w:rsidRPr="00634E39">
        <w:rPr>
          <w:sz w:val="18"/>
          <w:szCs w:val="18"/>
          <w:lang w:val="en-US"/>
        </w:rPr>
        <w:tab/>
        <w:t>Intergovernmental Panel on Climate Change</w:t>
      </w:r>
    </w:p>
    <w:p w:rsidR="00A7146D" w:rsidRPr="00634E39" w:rsidRDefault="00A7146D" w:rsidP="00A7146D">
      <w:pPr>
        <w:rPr>
          <w:sz w:val="18"/>
          <w:szCs w:val="18"/>
          <w:lang w:val="en-US"/>
        </w:rPr>
      </w:pPr>
      <w:r w:rsidRPr="00634E39">
        <w:rPr>
          <w:sz w:val="18"/>
          <w:szCs w:val="18"/>
          <w:lang w:val="en-US"/>
        </w:rPr>
        <w:t>LCA</w:t>
      </w:r>
      <w:r w:rsidRPr="00634E39">
        <w:rPr>
          <w:sz w:val="18"/>
          <w:szCs w:val="18"/>
          <w:lang w:val="en-US"/>
        </w:rPr>
        <w:tab/>
      </w:r>
      <w:r w:rsidRPr="00634E39">
        <w:rPr>
          <w:sz w:val="18"/>
          <w:szCs w:val="18"/>
          <w:lang w:val="en-US"/>
        </w:rPr>
        <w:tab/>
        <w:t xml:space="preserve">Life-cycle assessment (analysis; </w:t>
      </w:r>
      <w:proofErr w:type="spellStart"/>
      <w:r w:rsidRPr="00634E39">
        <w:rPr>
          <w:sz w:val="18"/>
          <w:szCs w:val="18"/>
          <w:lang w:val="en-US"/>
        </w:rPr>
        <w:t>ecobalance</w:t>
      </w:r>
      <w:proofErr w:type="spellEnd"/>
      <w:r w:rsidRPr="00634E39">
        <w:rPr>
          <w:sz w:val="18"/>
          <w:szCs w:val="18"/>
          <w:lang w:val="en-US"/>
        </w:rPr>
        <w:t>, cradle-to-grave analysis)</w:t>
      </w:r>
    </w:p>
    <w:p w:rsidR="00A7146D" w:rsidRPr="00634E39" w:rsidRDefault="00A7146D" w:rsidP="00A7146D">
      <w:pPr>
        <w:rPr>
          <w:sz w:val="18"/>
          <w:szCs w:val="18"/>
          <w:lang w:val="en-US"/>
        </w:rPr>
      </w:pPr>
      <w:r w:rsidRPr="00634E39">
        <w:rPr>
          <w:sz w:val="18"/>
          <w:szCs w:val="18"/>
          <w:lang w:val="en-US"/>
        </w:rPr>
        <w:t>MBM</w:t>
      </w:r>
      <w:r w:rsidRPr="00634E39">
        <w:rPr>
          <w:sz w:val="18"/>
          <w:szCs w:val="18"/>
          <w:lang w:val="en-US"/>
        </w:rPr>
        <w:tab/>
      </w:r>
      <w:r w:rsidRPr="00634E39">
        <w:rPr>
          <w:sz w:val="18"/>
          <w:szCs w:val="18"/>
          <w:lang w:val="en-US"/>
        </w:rPr>
        <w:tab/>
        <w:t>Market-based Measures</w:t>
      </w:r>
    </w:p>
    <w:p w:rsidR="00A7146D" w:rsidRPr="00634E39" w:rsidRDefault="00A7146D" w:rsidP="00A7146D">
      <w:pPr>
        <w:rPr>
          <w:sz w:val="18"/>
          <w:szCs w:val="18"/>
          <w:lang w:val="en-US"/>
        </w:rPr>
      </w:pPr>
      <w:r w:rsidRPr="00634E39">
        <w:rPr>
          <w:sz w:val="18"/>
          <w:szCs w:val="18"/>
          <w:lang w:val="en-US"/>
        </w:rPr>
        <w:t>MJ</w:t>
      </w:r>
      <w:r w:rsidRPr="00634E39">
        <w:rPr>
          <w:sz w:val="18"/>
          <w:szCs w:val="18"/>
          <w:lang w:val="en-US"/>
        </w:rPr>
        <w:tab/>
      </w:r>
      <w:r w:rsidRPr="00634E39">
        <w:rPr>
          <w:sz w:val="18"/>
          <w:szCs w:val="18"/>
          <w:lang w:val="en-US"/>
        </w:rPr>
        <w:tab/>
      </w:r>
      <w:proofErr w:type="spellStart"/>
      <w:r w:rsidRPr="00634E39">
        <w:rPr>
          <w:sz w:val="18"/>
          <w:szCs w:val="18"/>
          <w:lang w:val="en-US"/>
        </w:rPr>
        <w:t>MegaJoule</w:t>
      </w:r>
      <w:proofErr w:type="spellEnd"/>
      <w:r w:rsidRPr="00634E39">
        <w:rPr>
          <w:sz w:val="18"/>
          <w:szCs w:val="18"/>
          <w:lang w:val="en-US"/>
        </w:rPr>
        <w:t xml:space="preserve"> (one million Joule)</w:t>
      </w:r>
    </w:p>
    <w:p w:rsidR="00A7146D" w:rsidRPr="00634E39" w:rsidRDefault="00A7146D" w:rsidP="00A7146D">
      <w:pPr>
        <w:rPr>
          <w:sz w:val="18"/>
          <w:szCs w:val="18"/>
          <w:lang w:val="en-US"/>
        </w:rPr>
      </w:pPr>
      <w:proofErr w:type="spellStart"/>
      <w:r w:rsidRPr="00634E39">
        <w:rPr>
          <w:sz w:val="18"/>
          <w:szCs w:val="18"/>
          <w:lang w:val="en-US"/>
        </w:rPr>
        <w:t>mW</w:t>
      </w:r>
      <w:proofErr w:type="spellEnd"/>
      <w:r w:rsidRPr="00634E39">
        <w:rPr>
          <w:sz w:val="18"/>
          <w:szCs w:val="18"/>
          <w:lang w:val="en-US"/>
        </w:rPr>
        <w:tab/>
      </w:r>
      <w:r w:rsidRPr="00634E39">
        <w:rPr>
          <w:sz w:val="18"/>
          <w:szCs w:val="18"/>
          <w:lang w:val="en-US"/>
        </w:rPr>
        <w:tab/>
      </w:r>
      <w:proofErr w:type="spellStart"/>
      <w:r w:rsidRPr="00634E39">
        <w:rPr>
          <w:sz w:val="18"/>
          <w:szCs w:val="18"/>
          <w:lang w:val="en-US"/>
        </w:rPr>
        <w:t>milliWatt</w:t>
      </w:r>
      <w:proofErr w:type="spellEnd"/>
    </w:p>
    <w:p w:rsidR="00A7146D" w:rsidRPr="00634E39" w:rsidRDefault="00A7146D" w:rsidP="00A7146D">
      <w:pPr>
        <w:rPr>
          <w:sz w:val="18"/>
          <w:szCs w:val="18"/>
          <w:lang w:val="en-US"/>
        </w:rPr>
      </w:pPr>
      <w:r w:rsidRPr="00634E39">
        <w:rPr>
          <w:sz w:val="18"/>
          <w:szCs w:val="18"/>
          <w:lang w:val="en-US"/>
        </w:rPr>
        <w:t>NAG</w:t>
      </w:r>
      <w:r w:rsidRPr="00634E39">
        <w:rPr>
          <w:sz w:val="18"/>
          <w:szCs w:val="18"/>
          <w:lang w:val="en-US"/>
        </w:rPr>
        <w:tab/>
      </w:r>
      <w:r w:rsidRPr="00634E39">
        <w:rPr>
          <w:sz w:val="18"/>
          <w:szCs w:val="18"/>
          <w:lang w:val="en-US"/>
        </w:rPr>
        <w:tab/>
        <w:t>No Aviation Growth scenario</w:t>
      </w:r>
    </w:p>
    <w:p w:rsidR="00A7146D" w:rsidRPr="00634E39" w:rsidRDefault="00A7146D" w:rsidP="00A7146D">
      <w:pPr>
        <w:rPr>
          <w:sz w:val="18"/>
          <w:szCs w:val="18"/>
          <w:lang w:val="en-US"/>
        </w:rPr>
      </w:pPr>
      <w:r w:rsidRPr="00634E39">
        <w:rPr>
          <w:sz w:val="18"/>
          <w:szCs w:val="18"/>
          <w:lang w:val="en-US"/>
        </w:rPr>
        <w:t>OECD</w:t>
      </w:r>
      <w:r w:rsidRPr="00634E39">
        <w:rPr>
          <w:sz w:val="18"/>
          <w:szCs w:val="18"/>
          <w:lang w:val="en-US"/>
        </w:rPr>
        <w:tab/>
      </w:r>
      <w:r w:rsidRPr="00634E39">
        <w:rPr>
          <w:sz w:val="18"/>
          <w:szCs w:val="18"/>
          <w:lang w:val="en-US"/>
        </w:rPr>
        <w:tab/>
      </w:r>
      <w:proofErr w:type="spellStart"/>
      <w:r w:rsidRPr="00634E39">
        <w:rPr>
          <w:sz w:val="18"/>
          <w:szCs w:val="18"/>
          <w:lang w:val="en-US"/>
        </w:rPr>
        <w:t>Organisation</w:t>
      </w:r>
      <w:proofErr w:type="spellEnd"/>
      <w:r w:rsidRPr="00634E39">
        <w:rPr>
          <w:sz w:val="18"/>
          <w:szCs w:val="18"/>
          <w:lang w:val="en-US"/>
        </w:rPr>
        <w:t xml:space="preserve"> for Economic Co-operation and Development</w:t>
      </w:r>
    </w:p>
    <w:p w:rsidR="00A7146D" w:rsidRPr="00634E39" w:rsidRDefault="00A7146D" w:rsidP="00A7146D">
      <w:pPr>
        <w:rPr>
          <w:sz w:val="18"/>
          <w:szCs w:val="18"/>
          <w:lang w:val="en-US"/>
        </w:rPr>
      </w:pPr>
      <w:r w:rsidRPr="00634E39">
        <w:rPr>
          <w:sz w:val="18"/>
          <w:szCs w:val="18"/>
          <w:lang w:val="en-US"/>
        </w:rPr>
        <w:t>SRES</w:t>
      </w:r>
      <w:r w:rsidRPr="00634E39">
        <w:rPr>
          <w:sz w:val="18"/>
          <w:szCs w:val="18"/>
          <w:lang w:val="en-US"/>
        </w:rPr>
        <w:tab/>
      </w:r>
      <w:r w:rsidRPr="00634E39">
        <w:rPr>
          <w:sz w:val="18"/>
          <w:szCs w:val="18"/>
          <w:lang w:val="en-US"/>
        </w:rPr>
        <w:tab/>
        <w:t>Special Report on Emission Scenarios (IPCC 2000)</w:t>
      </w:r>
    </w:p>
    <w:p w:rsidR="00A7146D" w:rsidRPr="00634E39" w:rsidRDefault="00A7146D" w:rsidP="00A7146D">
      <w:pPr>
        <w:rPr>
          <w:sz w:val="18"/>
          <w:szCs w:val="18"/>
          <w:lang w:val="en-US"/>
        </w:rPr>
      </w:pPr>
      <w:proofErr w:type="spellStart"/>
      <w:r w:rsidRPr="00634E39">
        <w:rPr>
          <w:sz w:val="18"/>
          <w:szCs w:val="18"/>
          <w:lang w:val="en-US"/>
        </w:rPr>
        <w:t>Tg</w:t>
      </w:r>
      <w:proofErr w:type="spellEnd"/>
      <w:r w:rsidRPr="00634E39">
        <w:rPr>
          <w:sz w:val="18"/>
          <w:szCs w:val="18"/>
          <w:lang w:val="en-US"/>
        </w:rPr>
        <w:tab/>
      </w:r>
      <w:r w:rsidRPr="00634E39">
        <w:rPr>
          <w:sz w:val="18"/>
          <w:szCs w:val="18"/>
          <w:lang w:val="en-US"/>
        </w:rPr>
        <w:tab/>
      </w:r>
      <w:proofErr w:type="spellStart"/>
      <w:r w:rsidRPr="00634E39">
        <w:rPr>
          <w:sz w:val="18"/>
          <w:szCs w:val="18"/>
          <w:lang w:val="en-US"/>
        </w:rPr>
        <w:t>Tera</w:t>
      </w:r>
      <w:proofErr w:type="spellEnd"/>
      <w:r w:rsidRPr="00634E39">
        <w:rPr>
          <w:sz w:val="18"/>
          <w:szCs w:val="18"/>
          <w:lang w:val="en-US"/>
        </w:rPr>
        <w:t xml:space="preserve"> grams</w:t>
      </w:r>
    </w:p>
    <w:p w:rsidR="00A7146D" w:rsidRPr="00634E39" w:rsidRDefault="00A7146D" w:rsidP="00A7146D">
      <w:pPr>
        <w:rPr>
          <w:sz w:val="18"/>
          <w:szCs w:val="18"/>
          <w:lang w:val="en-US"/>
        </w:rPr>
      </w:pPr>
      <w:r w:rsidRPr="00634E39">
        <w:rPr>
          <w:sz w:val="18"/>
          <w:szCs w:val="18"/>
          <w:lang w:val="en-US"/>
        </w:rPr>
        <w:t>UNEP</w:t>
      </w:r>
      <w:r w:rsidRPr="00634E39">
        <w:rPr>
          <w:sz w:val="18"/>
          <w:szCs w:val="18"/>
          <w:lang w:val="en-US"/>
        </w:rPr>
        <w:tab/>
      </w:r>
      <w:r w:rsidRPr="00634E39">
        <w:rPr>
          <w:sz w:val="18"/>
          <w:szCs w:val="18"/>
          <w:lang w:val="en-US"/>
        </w:rPr>
        <w:tab/>
        <w:t xml:space="preserve">United Nations Environment </w:t>
      </w:r>
      <w:proofErr w:type="spellStart"/>
      <w:r w:rsidRPr="00634E39">
        <w:rPr>
          <w:sz w:val="18"/>
          <w:szCs w:val="18"/>
          <w:lang w:val="en-US"/>
        </w:rPr>
        <w:t>Programme</w:t>
      </w:r>
      <w:proofErr w:type="spellEnd"/>
    </w:p>
    <w:p w:rsidR="00A7146D" w:rsidRPr="00634E39" w:rsidRDefault="00A7146D" w:rsidP="00A7146D">
      <w:pPr>
        <w:rPr>
          <w:sz w:val="18"/>
          <w:szCs w:val="18"/>
          <w:lang w:val="en-US"/>
        </w:rPr>
      </w:pPr>
      <w:r w:rsidRPr="00634E39">
        <w:rPr>
          <w:sz w:val="18"/>
          <w:szCs w:val="18"/>
          <w:lang w:val="en-US"/>
        </w:rPr>
        <w:t>PKM</w:t>
      </w:r>
      <w:r w:rsidRPr="00634E39">
        <w:rPr>
          <w:sz w:val="18"/>
          <w:szCs w:val="18"/>
          <w:lang w:val="en-US"/>
        </w:rPr>
        <w:tab/>
      </w:r>
      <w:r w:rsidRPr="00634E39">
        <w:rPr>
          <w:sz w:val="18"/>
          <w:szCs w:val="18"/>
          <w:lang w:val="en-US"/>
        </w:rPr>
        <w:tab/>
        <w:t>Passenger Kilometers</w:t>
      </w:r>
    </w:p>
    <w:p w:rsidR="00A7146D" w:rsidRPr="00634E39" w:rsidRDefault="00A7146D" w:rsidP="00A7146D">
      <w:pPr>
        <w:rPr>
          <w:sz w:val="18"/>
          <w:szCs w:val="18"/>
          <w:lang w:val="en-US"/>
        </w:rPr>
      </w:pPr>
      <w:proofErr w:type="spellStart"/>
      <w:r w:rsidRPr="00634E39">
        <w:rPr>
          <w:sz w:val="18"/>
          <w:szCs w:val="18"/>
          <w:lang w:val="en-US"/>
        </w:rPr>
        <w:t>Ppm</w:t>
      </w:r>
      <w:proofErr w:type="spellEnd"/>
      <w:r w:rsidRPr="00634E39">
        <w:rPr>
          <w:sz w:val="18"/>
          <w:szCs w:val="18"/>
          <w:lang w:val="en-US"/>
        </w:rPr>
        <w:tab/>
      </w:r>
      <w:r w:rsidRPr="00634E39">
        <w:rPr>
          <w:sz w:val="18"/>
          <w:szCs w:val="18"/>
          <w:lang w:val="en-US"/>
        </w:rPr>
        <w:tab/>
        <w:t>parts per million</w:t>
      </w:r>
    </w:p>
    <w:p w:rsidR="00A7146D" w:rsidRPr="00634E39" w:rsidRDefault="00A7146D" w:rsidP="00A7146D">
      <w:pPr>
        <w:rPr>
          <w:sz w:val="18"/>
          <w:szCs w:val="18"/>
          <w:lang w:val="en-US"/>
        </w:rPr>
      </w:pPr>
      <w:r w:rsidRPr="00634E39">
        <w:rPr>
          <w:sz w:val="18"/>
          <w:szCs w:val="18"/>
          <w:lang w:val="en-US"/>
        </w:rPr>
        <w:t>RF</w:t>
      </w:r>
      <w:r w:rsidRPr="00634E39">
        <w:rPr>
          <w:sz w:val="18"/>
          <w:szCs w:val="18"/>
          <w:lang w:val="en-US"/>
        </w:rPr>
        <w:tab/>
      </w:r>
      <w:r w:rsidRPr="00634E39">
        <w:rPr>
          <w:sz w:val="18"/>
          <w:szCs w:val="18"/>
          <w:lang w:val="en-US"/>
        </w:rPr>
        <w:tab/>
      </w:r>
      <w:proofErr w:type="spellStart"/>
      <w:r w:rsidRPr="00634E39">
        <w:rPr>
          <w:sz w:val="18"/>
          <w:szCs w:val="18"/>
          <w:lang w:val="en-US"/>
        </w:rPr>
        <w:t>Radiative</w:t>
      </w:r>
      <w:proofErr w:type="spellEnd"/>
      <w:r w:rsidRPr="00634E39">
        <w:rPr>
          <w:sz w:val="18"/>
          <w:szCs w:val="18"/>
          <w:lang w:val="en-US"/>
        </w:rPr>
        <w:t xml:space="preserve"> Forcing</w:t>
      </w:r>
    </w:p>
    <w:p w:rsidR="00A7146D" w:rsidRPr="00634E39" w:rsidRDefault="00A7146D" w:rsidP="00A7146D">
      <w:pPr>
        <w:rPr>
          <w:sz w:val="18"/>
          <w:szCs w:val="18"/>
          <w:lang w:val="en-US"/>
        </w:rPr>
      </w:pPr>
      <w:r w:rsidRPr="00634E39">
        <w:rPr>
          <w:sz w:val="18"/>
          <w:szCs w:val="18"/>
          <w:lang w:val="en-US"/>
        </w:rPr>
        <w:t>SES</w:t>
      </w:r>
      <w:r w:rsidRPr="00634E39">
        <w:rPr>
          <w:sz w:val="18"/>
          <w:szCs w:val="18"/>
          <w:lang w:val="en-US"/>
        </w:rPr>
        <w:tab/>
      </w:r>
      <w:r w:rsidRPr="00634E39">
        <w:rPr>
          <w:sz w:val="18"/>
          <w:szCs w:val="18"/>
          <w:lang w:val="en-US"/>
        </w:rPr>
        <w:tab/>
        <w:t>Single European Sky</w:t>
      </w:r>
    </w:p>
    <w:p w:rsidR="00634E39" w:rsidRDefault="00634E39">
      <w:pPr>
        <w:spacing w:after="200" w:line="276" w:lineRule="auto"/>
        <w:jc w:val="left"/>
        <w:rPr>
          <w:sz w:val="18"/>
          <w:szCs w:val="18"/>
          <w:lang w:val="en-US"/>
        </w:rPr>
      </w:pPr>
    </w:p>
    <w:p w:rsidR="00634E39" w:rsidRDefault="00634E39">
      <w:pPr>
        <w:spacing w:after="200" w:line="276" w:lineRule="auto"/>
        <w:jc w:val="left"/>
        <w:rPr>
          <w:sz w:val="18"/>
          <w:szCs w:val="18"/>
          <w:lang w:val="en-US"/>
        </w:rPr>
      </w:pPr>
      <w:r>
        <w:rPr>
          <w:sz w:val="18"/>
          <w:szCs w:val="18"/>
          <w:lang w:val="en-US"/>
        </w:rPr>
        <w:br w:type="page"/>
      </w:r>
    </w:p>
    <w:p w:rsidR="00FE1929" w:rsidRDefault="009A22A4" w:rsidP="000D0D7D">
      <w:pPr>
        <w:spacing w:after="200"/>
        <w:jc w:val="left"/>
        <w:rPr>
          <w:sz w:val="18"/>
          <w:szCs w:val="18"/>
          <w:lang w:val="en-US"/>
        </w:rPr>
      </w:pPr>
      <w:r>
        <w:rPr>
          <w:noProof/>
          <w:sz w:val="18"/>
          <w:szCs w:val="18"/>
          <w:lang w:eastAsia="nl-NL"/>
        </w:rPr>
        <w:lastRenderedPageBreak/>
        <w:drawing>
          <wp:anchor distT="0" distB="0" distL="114300" distR="114300" simplePos="0" relativeHeight="252584960" behindDoc="1" locked="0" layoutInCell="1" allowOverlap="1">
            <wp:simplePos x="0" y="0"/>
            <wp:positionH relativeFrom="column">
              <wp:posOffset>-3736431</wp:posOffset>
            </wp:positionH>
            <wp:positionV relativeFrom="paragraph">
              <wp:posOffset>-1164318</wp:posOffset>
            </wp:positionV>
            <wp:extent cx="10104665" cy="11116492"/>
            <wp:effectExtent l="19050" t="0" r="0" b="0"/>
            <wp:wrapNone/>
            <wp:docPr id="12" name="Afbeelding 3" descr="F:\Foto's\Luchtvaart\Contrails achterp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oto's\Luchtvaart\Contrails achterpag.jpg"/>
                    <pic:cNvPicPr>
                      <a:picLocks noChangeAspect="1" noChangeArrowheads="1"/>
                    </pic:cNvPicPr>
                  </pic:nvPicPr>
                  <pic:blipFill>
                    <a:blip r:embed="rId48" cstate="print"/>
                    <a:srcRect/>
                    <a:stretch>
                      <a:fillRect/>
                    </a:stretch>
                  </pic:blipFill>
                  <pic:spPr bwMode="auto">
                    <a:xfrm>
                      <a:off x="0" y="0"/>
                      <a:ext cx="10104665" cy="11116492"/>
                    </a:xfrm>
                    <a:prstGeom prst="rect">
                      <a:avLst/>
                    </a:prstGeom>
                    <a:noFill/>
                    <a:ln w="9525">
                      <a:noFill/>
                      <a:miter lim="800000"/>
                      <a:headEnd/>
                      <a:tailEnd/>
                    </a:ln>
                  </pic:spPr>
                </pic:pic>
              </a:graphicData>
            </a:graphic>
          </wp:anchor>
        </w:drawing>
      </w:r>
    </w:p>
    <w:p w:rsidR="00FE1929" w:rsidRDefault="00FE1929" w:rsidP="000D0D7D">
      <w:pPr>
        <w:spacing w:after="200"/>
        <w:jc w:val="left"/>
        <w:rPr>
          <w:sz w:val="18"/>
          <w:szCs w:val="18"/>
          <w:lang w:val="en-US"/>
        </w:rPr>
      </w:pPr>
    </w:p>
    <w:p w:rsidR="00FE1929" w:rsidRDefault="00FE1929" w:rsidP="000D0D7D">
      <w:pPr>
        <w:spacing w:after="200"/>
        <w:jc w:val="left"/>
        <w:rPr>
          <w:sz w:val="18"/>
          <w:szCs w:val="18"/>
          <w:lang w:val="en-US"/>
        </w:rPr>
      </w:pPr>
    </w:p>
    <w:p w:rsidR="000D0D7D" w:rsidRPr="00852599" w:rsidRDefault="007453DE" w:rsidP="00B033B0">
      <w:pPr>
        <w:spacing w:after="200"/>
        <w:jc w:val="left"/>
        <w:rPr>
          <w:sz w:val="18"/>
          <w:szCs w:val="18"/>
          <w:lang w:val="en-US"/>
        </w:rPr>
      </w:pPr>
      <w:r>
        <w:rPr>
          <w:noProof/>
          <w:sz w:val="18"/>
          <w:szCs w:val="18"/>
          <w:lang w:eastAsia="nl-NL"/>
        </w:rPr>
        <w:pict>
          <v:shape id="_x0000_s214136" type="#_x0000_t202" style="position:absolute;margin-left:14.75pt;margin-top:483.25pt;width:370.25pt;height:112.8pt;z-index:252521472;mso-width-relative:margin;mso-height-relative:margin" o:regroupid="22" filled="f" stroked="f">
            <v:textbox style="mso-next-textbox:#_x0000_s214136">
              <w:txbxContent>
                <w:p w:rsidR="00396735" w:rsidRDefault="00396735" w:rsidP="006B2BCB">
                  <w:pPr>
                    <w:spacing w:after="200"/>
                    <w:jc w:val="center"/>
                    <w:rPr>
                      <w:b/>
                      <w:color w:val="FFFFFF" w:themeColor="background1"/>
                      <w:lang w:val="en-US"/>
                    </w:rPr>
                  </w:pPr>
                </w:p>
                <w:p w:rsidR="00396735" w:rsidRPr="00416940" w:rsidRDefault="00396735" w:rsidP="006B2BCB">
                  <w:pPr>
                    <w:spacing w:after="200"/>
                    <w:jc w:val="center"/>
                    <w:rPr>
                      <w:b/>
                      <w:color w:val="FFFFFF" w:themeColor="background1"/>
                      <w:lang w:val="en-US"/>
                    </w:rPr>
                  </w:pPr>
                  <w:proofErr w:type="spellStart"/>
                  <w:r>
                    <w:rPr>
                      <w:b/>
                      <w:color w:val="FFFFFF" w:themeColor="background1"/>
                      <w:lang w:val="en-US"/>
                    </w:rPr>
                    <w:t>Werkgroep</w:t>
                  </w:r>
                  <w:proofErr w:type="spellEnd"/>
                  <w:r>
                    <w:rPr>
                      <w:b/>
                      <w:color w:val="FFFFFF" w:themeColor="background1"/>
                      <w:lang w:val="en-US"/>
                    </w:rPr>
                    <w:t xml:space="preserve"> </w:t>
                  </w:r>
                  <w:proofErr w:type="spellStart"/>
                  <w:r>
                    <w:rPr>
                      <w:b/>
                      <w:color w:val="FFFFFF" w:themeColor="background1"/>
                      <w:lang w:val="en-US"/>
                    </w:rPr>
                    <w:t>Toekomst</w:t>
                  </w:r>
                  <w:proofErr w:type="spellEnd"/>
                  <w:r>
                    <w:rPr>
                      <w:b/>
                      <w:color w:val="FFFFFF" w:themeColor="background1"/>
                      <w:lang w:val="en-US"/>
                    </w:rPr>
                    <w:t xml:space="preserve"> </w:t>
                  </w:r>
                  <w:proofErr w:type="spellStart"/>
                  <w:r>
                    <w:rPr>
                      <w:b/>
                      <w:color w:val="FFFFFF" w:themeColor="background1"/>
                      <w:lang w:val="en-US"/>
                    </w:rPr>
                    <w:t>Luchtvaart</w:t>
                  </w:r>
                  <w:proofErr w:type="spellEnd"/>
                  <w:r>
                    <w:rPr>
                      <w:b/>
                      <w:color w:val="FFFFFF" w:themeColor="background1"/>
                      <w:lang w:val="en-US"/>
                    </w:rPr>
                    <w:t xml:space="preserve"> (WTL)</w:t>
                  </w:r>
                </w:p>
                <w:p w:rsidR="00396735" w:rsidRPr="002E5389" w:rsidRDefault="00396735" w:rsidP="006B2BCB">
                  <w:pPr>
                    <w:spacing w:after="200"/>
                    <w:rPr>
                      <w:lang w:val="en-US"/>
                    </w:rPr>
                  </w:pPr>
                  <w:r w:rsidRPr="002E5389">
                    <w:rPr>
                      <w:lang w:val="en-US"/>
                    </w:rPr>
                    <w:t xml:space="preserve">    </w:t>
                  </w:r>
                </w:p>
                <w:p w:rsidR="00396735" w:rsidRPr="00017EEF" w:rsidRDefault="00396735" w:rsidP="006B2BCB">
                  <w:pPr>
                    <w:rPr>
                      <w:sz w:val="14"/>
                      <w:szCs w:val="14"/>
                      <w:lang w:val="en-US"/>
                    </w:rPr>
                  </w:pPr>
                </w:p>
                <w:p w:rsidR="00396735" w:rsidRPr="00017EEF" w:rsidRDefault="00396735" w:rsidP="006B2BCB">
                  <w:pPr>
                    <w:rPr>
                      <w:lang w:val="en-US"/>
                    </w:rPr>
                  </w:pPr>
                </w:p>
              </w:txbxContent>
            </v:textbox>
          </v:shape>
        </w:pict>
      </w:r>
    </w:p>
    <w:sectPr w:rsidR="000D0D7D" w:rsidRPr="00852599" w:rsidSect="0047284A">
      <w:headerReference w:type="default" r:id="rId49"/>
      <w:footerReference w:type="default" r:id="rId50"/>
      <w:pgSz w:w="11906" w:h="16838" w:code="9"/>
      <w:pgMar w:top="1525" w:right="1985" w:bottom="992" w:left="1985" w:header="709" w:footer="278"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C64" w:rsidRDefault="008A1C64" w:rsidP="00E27692">
      <w:pPr>
        <w:spacing w:after="0" w:line="240" w:lineRule="auto"/>
      </w:pPr>
      <w:r>
        <w:separator/>
      </w:r>
    </w:p>
  </w:endnote>
  <w:endnote w:type="continuationSeparator" w:id="0">
    <w:p w:rsidR="008A1C64" w:rsidRDefault="008A1C64" w:rsidP="00E276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harter ITC Std Black">
    <w:altName w:val="Charter ITC Std Black"/>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StoneSansITCTTMedium">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4737"/>
      <w:docPartObj>
        <w:docPartGallery w:val="Page Numbers (Bottom of Page)"/>
        <w:docPartUnique/>
      </w:docPartObj>
    </w:sdtPr>
    <w:sdtContent>
      <w:p w:rsidR="00396735" w:rsidRDefault="007453DE">
        <w:pPr>
          <w:pStyle w:val="Voettekst"/>
          <w:jc w:val="center"/>
        </w:pPr>
        <w:r>
          <w:rPr>
            <w:noProof/>
            <w:lang w:eastAsia="nl-NL"/>
          </w:rPr>
          <w:pict>
            <v:rect id="_x0000_s4242" style="position:absolute;left:0;text-align:left;margin-left:82.75pt;margin-top:6.65pt;width:22.5pt;height:18.75pt;z-index:251663360;mso-position-horizontal-relative:text;mso-position-vertical-relative:text" fillcolor="white [3212]" stroked="f"/>
          </w:pict>
        </w:r>
        <w:r>
          <w:rPr>
            <w:noProof/>
            <w:lang w:eastAsia="nl-NL"/>
          </w:rPr>
          <w:pict>
            <v:rect id="_x0000_s4241" style="position:absolute;left:0;text-align:left;margin-left:191.85pt;margin-top:-.1pt;width:20.55pt;height:18.75pt;z-index:251662336;mso-position-horizontal-relative:text;mso-position-vertical-relative:text" filled="f" stroked="f"/>
          </w:pict>
        </w:r>
        <w:fldSimple w:instr=" PAGE   \* MERGEFORMAT ">
          <w:r w:rsidR="008E3755">
            <w:rPr>
              <w:noProof/>
            </w:rPr>
            <w:t>0</w:t>
          </w:r>
        </w:fldSimple>
      </w:p>
    </w:sdtContent>
  </w:sdt>
  <w:p w:rsidR="00396735" w:rsidRDefault="00396735">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4729"/>
      <w:docPartObj>
        <w:docPartGallery w:val="Page Numbers (Bottom of Page)"/>
        <w:docPartUnique/>
      </w:docPartObj>
    </w:sdtPr>
    <w:sdtContent>
      <w:p w:rsidR="00396735" w:rsidRDefault="007453DE">
        <w:pPr>
          <w:pStyle w:val="Voettekst"/>
          <w:jc w:val="center"/>
        </w:pPr>
        <w:fldSimple w:instr=" PAGE   \* MERGEFORMAT ">
          <w:r w:rsidR="008E3755">
            <w:rPr>
              <w:noProof/>
            </w:rPr>
            <w:t>10</w:t>
          </w:r>
        </w:fldSimple>
      </w:p>
    </w:sdtContent>
  </w:sdt>
  <w:p w:rsidR="00396735" w:rsidRDefault="0039673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C64" w:rsidRDefault="008A1C64" w:rsidP="00E27692">
      <w:pPr>
        <w:spacing w:after="0" w:line="240" w:lineRule="auto"/>
      </w:pPr>
      <w:r>
        <w:separator/>
      </w:r>
    </w:p>
  </w:footnote>
  <w:footnote w:type="continuationSeparator" w:id="0">
    <w:p w:rsidR="008A1C64" w:rsidRDefault="008A1C64" w:rsidP="00E276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735" w:rsidRDefault="00396735">
    <w:pPr>
      <w:pStyle w:val="Koptekst"/>
    </w:pPr>
    <w:r>
      <w:ptab w:relativeTo="margin" w:alignment="center" w:leader="none"/>
    </w:r>
    <w:r>
      <w:ptab w:relativeTo="margin" w:alignment="right" w:leader="none"/>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735" w:rsidRDefault="007453DE" w:rsidP="00FA795F">
    <w:pPr>
      <w:pStyle w:val="Koptekst"/>
      <w:jc w:val="right"/>
    </w:pPr>
    <w:r>
      <w:rPr>
        <w:noProof/>
        <w:lang w:eastAsia="nl-NL"/>
      </w:rPr>
      <w:pict>
        <v:group id="_x0000_s4202" style="position:absolute;left:0;text-align:left;margin-left:152.1pt;margin-top:-15.55pt;width:97.25pt;height:29.1pt;z-index:251658240" coordorigin="5040,15339" coordsize="1945,582">
          <v:shapetype id="_x0000_t202" coordsize="21600,21600" o:spt="202" path="m,l,21600r21600,l21600,xe">
            <v:stroke joinstyle="miter"/>
            <v:path gradientshapeok="t" o:connecttype="rect"/>
          </v:shapetype>
          <v:shape id="_x0000_s4203" type="#_x0000_t202" style="position:absolute;left:5905;top:15339;width:1080;height:582" filled="f" stroked="f">
            <v:textbox style="mso-next-textbox:#_x0000_s4203">
              <w:txbxContent>
                <w:p w:rsidR="00396735" w:rsidRPr="00310BDF" w:rsidRDefault="00396735" w:rsidP="00FA795F">
                  <w:pPr>
                    <w:pStyle w:val="LOGOWTL"/>
                    <w:rPr>
                      <w:b/>
                      <w:color w:val="66FF33"/>
                    </w:rPr>
                  </w:pPr>
                  <w:r w:rsidRPr="00310BDF">
                    <w:rPr>
                      <w:b/>
                      <w:color w:val="66FF33"/>
                    </w:rPr>
                    <w:t xml:space="preserve">WTL </w:t>
                  </w:r>
                </w:p>
              </w:txbxContent>
            </v:textbox>
          </v:shape>
          <v:group id="_x0000_s4204" style="position:absolute;left:5040;top:15480;width:973;height:345" coordorigin="5040,15480" coordsize="973,345">
            <v:oval id="_x0000_s4205" style="position:absolute;left:5040;top:15743;width:125;height:82;rotation:355" fillcolor="#36f" stroked="f">
              <o:lock v:ext="edit" aspectratio="t"/>
            </v:oval>
            <v:oval id="_x0000_s4206" style="position:absolute;left:5191;top:15656;width:125;height:82;rotation:355" fillcolor="#09f" stroked="f">
              <o:lock v:ext="edit" aspectratio="t"/>
            </v:oval>
            <v:oval id="_x0000_s4207" style="position:absolute;left:5358;top:15590;width:125;height:82;rotation:355" fillcolor="#0cf" stroked="f">
              <o:lock v:ext="edit" aspectratio="t"/>
            </v:oval>
            <v:oval id="_x0000_s4208" style="position:absolute;left:5534;top:15538;width:125;height:82;rotation:355" fillcolor="#0c9" stroked="f">
              <o:lock v:ext="edit" aspectratio="t"/>
            </v:oval>
            <v:oval id="_x0000_s4209" style="position:absolute;left:5710;top:15498;width:125;height:82;rotation:355" fillcolor="#3c3" stroked="f">
              <o:lock v:ext="edit" aspectratio="t"/>
            </v:oval>
            <v:oval id="_x0000_s4210" style="position:absolute;left:5888;top:15480;width:125;height:82;rotation:355" fillcolor="lime" stroked="f">
              <o:lock v:ext="edit" aspectratio="t"/>
            </v:oval>
          </v:group>
        </v:group>
      </w:pict>
    </w:r>
    <w:r w:rsidR="00396735">
      <w:ptab w:relativeTo="margin" w:alignment="center" w:leader="none"/>
    </w:r>
    <w:r w:rsidR="00396735">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735" w:rsidRDefault="007453DE" w:rsidP="00FA795F">
    <w:pPr>
      <w:pStyle w:val="Koptekst"/>
      <w:jc w:val="right"/>
    </w:pPr>
    <w:r>
      <w:rPr>
        <w:noProof/>
        <w:lang w:eastAsia="nl-NL"/>
      </w:rPr>
      <w:pict>
        <v:group id="_x0000_s4230" style="position:absolute;left:0;text-align:left;margin-left:14.2pt;margin-top:-11.8pt;width:97.25pt;height:29.1pt;z-index:251661312" coordorigin="5040,15339" coordsize="1945,582">
          <v:shapetype id="_x0000_t202" coordsize="21600,21600" o:spt="202" path="m,l,21600r21600,l21600,xe">
            <v:stroke joinstyle="miter"/>
            <v:path gradientshapeok="t" o:connecttype="rect"/>
          </v:shapetype>
          <v:shape id="_x0000_s4231" type="#_x0000_t202" style="position:absolute;left:5905;top:15339;width:1080;height:582" filled="f" stroked="f">
            <v:textbox style="mso-next-textbox:#_x0000_s4231">
              <w:txbxContent>
                <w:p w:rsidR="00396735" w:rsidRPr="00310BDF" w:rsidRDefault="00396735" w:rsidP="003672C6">
                  <w:pPr>
                    <w:pStyle w:val="LOGOWTL"/>
                    <w:rPr>
                      <w:b/>
                      <w:color w:val="66FF33"/>
                    </w:rPr>
                  </w:pPr>
                  <w:r w:rsidRPr="00310BDF">
                    <w:rPr>
                      <w:b/>
                      <w:color w:val="66FF33"/>
                    </w:rPr>
                    <w:t xml:space="preserve">WTL </w:t>
                  </w:r>
                </w:p>
              </w:txbxContent>
            </v:textbox>
          </v:shape>
          <v:group id="_x0000_s4232" style="position:absolute;left:5040;top:15480;width:973;height:345" coordorigin="5040,15480" coordsize="973,345">
            <v:oval id="_x0000_s4233" style="position:absolute;left:5040;top:15743;width:125;height:82;rotation:355" fillcolor="#36f" stroked="f">
              <o:lock v:ext="edit" aspectratio="t"/>
            </v:oval>
            <v:oval id="_x0000_s4234" style="position:absolute;left:5191;top:15656;width:125;height:82;rotation:355" fillcolor="#09f" stroked="f">
              <o:lock v:ext="edit" aspectratio="t"/>
            </v:oval>
            <v:oval id="_x0000_s4235" style="position:absolute;left:5358;top:15590;width:125;height:82;rotation:355" fillcolor="#0cf" stroked="f">
              <o:lock v:ext="edit" aspectratio="t"/>
            </v:oval>
            <v:oval id="_x0000_s4236" style="position:absolute;left:5534;top:15538;width:125;height:82;rotation:355" fillcolor="#0c9" stroked="f">
              <o:lock v:ext="edit" aspectratio="t"/>
            </v:oval>
            <v:oval id="_x0000_s4237" style="position:absolute;left:5710;top:15498;width:125;height:82;rotation:355" fillcolor="#3c3" stroked="f">
              <o:lock v:ext="edit" aspectratio="t"/>
            </v:oval>
            <v:oval id="_x0000_s4238" style="position:absolute;left:5888;top:15480;width:125;height:82;rotation:355" fillcolor="lime" stroked="f">
              <o:lock v:ext="edit" aspectratio="t"/>
            </v:oval>
          </v:group>
        </v:group>
      </w:pict>
    </w:r>
    <w:r w:rsidR="00396735">
      <w:ptab w:relativeTo="margin" w:alignment="center" w:leader="none"/>
    </w:r>
    <w:r w:rsidR="00396735">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789"/>
    <w:multiLevelType w:val="hybridMultilevel"/>
    <w:tmpl w:val="F9725620"/>
    <w:lvl w:ilvl="0" w:tplc="5332F53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96520DD"/>
    <w:multiLevelType w:val="hybridMultilevel"/>
    <w:tmpl w:val="EBF6B95C"/>
    <w:lvl w:ilvl="0" w:tplc="F0CA35FA">
      <w:start w:val="1"/>
      <w:numFmt w:val="decimal"/>
      <w:lvlText w:val="%1."/>
      <w:lvlJc w:val="left"/>
      <w:pPr>
        <w:ind w:left="360" w:hanging="360"/>
      </w:pPr>
      <w:rPr>
        <w:rFonts w:asciiTheme="minorHAnsi" w:hAnsi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0E52173B"/>
    <w:multiLevelType w:val="hybridMultilevel"/>
    <w:tmpl w:val="F4785B1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290C69E4"/>
    <w:multiLevelType w:val="hybridMultilevel"/>
    <w:tmpl w:val="57D853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0D80CB6"/>
    <w:multiLevelType w:val="hybridMultilevel"/>
    <w:tmpl w:val="8122695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3703351E"/>
    <w:multiLevelType w:val="hybridMultilevel"/>
    <w:tmpl w:val="1CC40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82B08E3"/>
    <w:multiLevelType w:val="hybridMultilevel"/>
    <w:tmpl w:val="1DBC04AE"/>
    <w:lvl w:ilvl="0" w:tplc="04130001">
      <w:start w:val="1"/>
      <w:numFmt w:val="bullet"/>
      <w:lvlText w:val=""/>
      <w:lvlJc w:val="left"/>
      <w:pPr>
        <w:ind w:left="3585" w:hanging="360"/>
      </w:pPr>
      <w:rPr>
        <w:rFonts w:ascii="Symbol" w:hAnsi="Symbol" w:hint="default"/>
      </w:rPr>
    </w:lvl>
    <w:lvl w:ilvl="1" w:tplc="04130003" w:tentative="1">
      <w:start w:val="1"/>
      <w:numFmt w:val="bullet"/>
      <w:lvlText w:val="o"/>
      <w:lvlJc w:val="left"/>
      <w:pPr>
        <w:ind w:left="4305" w:hanging="360"/>
      </w:pPr>
      <w:rPr>
        <w:rFonts w:ascii="Courier New" w:hAnsi="Courier New" w:cs="Courier New" w:hint="default"/>
      </w:rPr>
    </w:lvl>
    <w:lvl w:ilvl="2" w:tplc="04130005" w:tentative="1">
      <w:start w:val="1"/>
      <w:numFmt w:val="bullet"/>
      <w:lvlText w:val=""/>
      <w:lvlJc w:val="left"/>
      <w:pPr>
        <w:ind w:left="5025" w:hanging="360"/>
      </w:pPr>
      <w:rPr>
        <w:rFonts w:ascii="Wingdings" w:hAnsi="Wingdings" w:hint="default"/>
      </w:rPr>
    </w:lvl>
    <w:lvl w:ilvl="3" w:tplc="04130001" w:tentative="1">
      <w:start w:val="1"/>
      <w:numFmt w:val="bullet"/>
      <w:lvlText w:val=""/>
      <w:lvlJc w:val="left"/>
      <w:pPr>
        <w:ind w:left="5745" w:hanging="360"/>
      </w:pPr>
      <w:rPr>
        <w:rFonts w:ascii="Symbol" w:hAnsi="Symbol" w:hint="default"/>
      </w:rPr>
    </w:lvl>
    <w:lvl w:ilvl="4" w:tplc="04130003" w:tentative="1">
      <w:start w:val="1"/>
      <w:numFmt w:val="bullet"/>
      <w:lvlText w:val="o"/>
      <w:lvlJc w:val="left"/>
      <w:pPr>
        <w:ind w:left="6465" w:hanging="360"/>
      </w:pPr>
      <w:rPr>
        <w:rFonts w:ascii="Courier New" w:hAnsi="Courier New" w:cs="Courier New" w:hint="default"/>
      </w:rPr>
    </w:lvl>
    <w:lvl w:ilvl="5" w:tplc="04130005" w:tentative="1">
      <w:start w:val="1"/>
      <w:numFmt w:val="bullet"/>
      <w:lvlText w:val=""/>
      <w:lvlJc w:val="left"/>
      <w:pPr>
        <w:ind w:left="7185" w:hanging="360"/>
      </w:pPr>
      <w:rPr>
        <w:rFonts w:ascii="Wingdings" w:hAnsi="Wingdings" w:hint="default"/>
      </w:rPr>
    </w:lvl>
    <w:lvl w:ilvl="6" w:tplc="04130001" w:tentative="1">
      <w:start w:val="1"/>
      <w:numFmt w:val="bullet"/>
      <w:lvlText w:val=""/>
      <w:lvlJc w:val="left"/>
      <w:pPr>
        <w:ind w:left="7905" w:hanging="360"/>
      </w:pPr>
      <w:rPr>
        <w:rFonts w:ascii="Symbol" w:hAnsi="Symbol" w:hint="default"/>
      </w:rPr>
    </w:lvl>
    <w:lvl w:ilvl="7" w:tplc="04130003" w:tentative="1">
      <w:start w:val="1"/>
      <w:numFmt w:val="bullet"/>
      <w:lvlText w:val="o"/>
      <w:lvlJc w:val="left"/>
      <w:pPr>
        <w:ind w:left="8625" w:hanging="360"/>
      </w:pPr>
      <w:rPr>
        <w:rFonts w:ascii="Courier New" w:hAnsi="Courier New" w:cs="Courier New" w:hint="default"/>
      </w:rPr>
    </w:lvl>
    <w:lvl w:ilvl="8" w:tplc="04130005" w:tentative="1">
      <w:start w:val="1"/>
      <w:numFmt w:val="bullet"/>
      <w:lvlText w:val=""/>
      <w:lvlJc w:val="left"/>
      <w:pPr>
        <w:ind w:left="9345" w:hanging="360"/>
      </w:pPr>
      <w:rPr>
        <w:rFonts w:ascii="Wingdings" w:hAnsi="Wingdings" w:hint="default"/>
      </w:rPr>
    </w:lvl>
  </w:abstractNum>
  <w:abstractNum w:abstractNumId="7">
    <w:nsid w:val="4C440E01"/>
    <w:multiLevelType w:val="hybridMultilevel"/>
    <w:tmpl w:val="BF3C0408"/>
    <w:lvl w:ilvl="0" w:tplc="068ECB7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4614DA2"/>
    <w:multiLevelType w:val="hybridMultilevel"/>
    <w:tmpl w:val="30B614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57440A35"/>
    <w:multiLevelType w:val="hybridMultilevel"/>
    <w:tmpl w:val="CD8E37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588D656E"/>
    <w:multiLevelType w:val="hybridMultilevel"/>
    <w:tmpl w:val="FFB097FE"/>
    <w:lvl w:ilvl="0" w:tplc="04130019">
      <w:start w:val="1"/>
      <w:numFmt w:val="lowerLetter"/>
      <w:lvlText w:val="%1."/>
      <w:lvlJc w:val="left"/>
      <w:pPr>
        <w:ind w:left="2520" w:hanging="360"/>
      </w:pPr>
      <w:rPr>
        <w:rFonts w:hint="default"/>
      </w:rPr>
    </w:lvl>
    <w:lvl w:ilvl="1" w:tplc="04130019">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11">
    <w:nsid w:val="5D653C07"/>
    <w:multiLevelType w:val="hybridMultilevel"/>
    <w:tmpl w:val="449C8AC2"/>
    <w:lvl w:ilvl="0" w:tplc="BB1EF5C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60B71280"/>
    <w:multiLevelType w:val="hybridMultilevel"/>
    <w:tmpl w:val="E5685D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74302834"/>
    <w:multiLevelType w:val="hybridMultilevel"/>
    <w:tmpl w:val="25384C0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78E9530A"/>
    <w:multiLevelType w:val="hybridMultilevel"/>
    <w:tmpl w:val="06F6810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79F33ED9"/>
    <w:multiLevelType w:val="hybridMultilevel"/>
    <w:tmpl w:val="A0B6F3F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7B89166E"/>
    <w:multiLevelType w:val="hybridMultilevel"/>
    <w:tmpl w:val="543E2D68"/>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7E3E60B5"/>
    <w:multiLevelType w:val="hybridMultilevel"/>
    <w:tmpl w:val="8DB260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9"/>
  </w:num>
  <w:num w:numId="4">
    <w:abstractNumId w:val="13"/>
  </w:num>
  <w:num w:numId="5">
    <w:abstractNumId w:val="10"/>
  </w:num>
  <w:num w:numId="6">
    <w:abstractNumId w:val="2"/>
  </w:num>
  <w:num w:numId="7">
    <w:abstractNumId w:val="15"/>
  </w:num>
  <w:num w:numId="8">
    <w:abstractNumId w:val="4"/>
  </w:num>
  <w:num w:numId="9">
    <w:abstractNumId w:val="11"/>
  </w:num>
  <w:num w:numId="10">
    <w:abstractNumId w:val="7"/>
  </w:num>
  <w:num w:numId="11">
    <w:abstractNumId w:val="5"/>
  </w:num>
  <w:num w:numId="12">
    <w:abstractNumId w:val="0"/>
  </w:num>
  <w:num w:numId="13">
    <w:abstractNumId w:val="16"/>
  </w:num>
  <w:num w:numId="14">
    <w:abstractNumId w:val="14"/>
  </w:num>
  <w:num w:numId="15">
    <w:abstractNumId w:val="8"/>
  </w:num>
  <w:num w:numId="16">
    <w:abstractNumId w:val="6"/>
  </w:num>
  <w:num w:numId="17">
    <w:abstractNumId w:val="12"/>
  </w:num>
  <w:num w:numId="18">
    <w:abstractNumId w:val="1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95"/>
  <w:displayHorizontalDrawingGridEvery w:val="2"/>
  <w:characterSpacingControl w:val="doNotCompress"/>
  <w:hdrShapeDefaults>
    <o:shapedefaults v:ext="edit" spidmax="230402">
      <o:colormru v:ext="edit" colors="#8db3e2,#0192ff,#fdeddf,#cff,#fff2cd,#e2f3fe,#e1f9ff,#effcff"/>
      <o:colormenu v:ext="edit" fillcolor="#effcff" strokecolor="none" shadowcolor="none [671]"/>
    </o:shapedefaults>
    <o:shapelayout v:ext="edit">
      <o:idmap v:ext="edit" data="4"/>
    </o:shapelayout>
  </w:hdrShapeDefaults>
  <w:footnotePr>
    <w:footnote w:id="-1"/>
    <w:footnote w:id="0"/>
  </w:footnotePr>
  <w:endnotePr>
    <w:endnote w:id="-1"/>
    <w:endnote w:id="0"/>
  </w:endnotePr>
  <w:compat/>
  <w:rsids>
    <w:rsidRoot w:val="00CF618A"/>
    <w:rsid w:val="00000238"/>
    <w:rsid w:val="00000300"/>
    <w:rsid w:val="00000D46"/>
    <w:rsid w:val="00003E1C"/>
    <w:rsid w:val="00004658"/>
    <w:rsid w:val="00007646"/>
    <w:rsid w:val="000076CD"/>
    <w:rsid w:val="00007822"/>
    <w:rsid w:val="0001025B"/>
    <w:rsid w:val="00012C1C"/>
    <w:rsid w:val="00012FCA"/>
    <w:rsid w:val="0001387C"/>
    <w:rsid w:val="00014244"/>
    <w:rsid w:val="000146E3"/>
    <w:rsid w:val="00014B39"/>
    <w:rsid w:val="00015BD5"/>
    <w:rsid w:val="000165F1"/>
    <w:rsid w:val="000167BD"/>
    <w:rsid w:val="00016AF7"/>
    <w:rsid w:val="00016F1A"/>
    <w:rsid w:val="00017CF6"/>
    <w:rsid w:val="00017EEF"/>
    <w:rsid w:val="00017F8F"/>
    <w:rsid w:val="0002083C"/>
    <w:rsid w:val="0002115D"/>
    <w:rsid w:val="000213BD"/>
    <w:rsid w:val="000235F2"/>
    <w:rsid w:val="000254CF"/>
    <w:rsid w:val="00025A44"/>
    <w:rsid w:val="00025FC5"/>
    <w:rsid w:val="00026436"/>
    <w:rsid w:val="00026CA9"/>
    <w:rsid w:val="00027379"/>
    <w:rsid w:val="000274D2"/>
    <w:rsid w:val="00027B9F"/>
    <w:rsid w:val="00030517"/>
    <w:rsid w:val="00030F06"/>
    <w:rsid w:val="00031A3C"/>
    <w:rsid w:val="00031F2E"/>
    <w:rsid w:val="000324BD"/>
    <w:rsid w:val="00032EB1"/>
    <w:rsid w:val="00033CA3"/>
    <w:rsid w:val="0003516A"/>
    <w:rsid w:val="0003741D"/>
    <w:rsid w:val="00037646"/>
    <w:rsid w:val="000412DD"/>
    <w:rsid w:val="00042101"/>
    <w:rsid w:val="00042B02"/>
    <w:rsid w:val="00043082"/>
    <w:rsid w:val="000436A3"/>
    <w:rsid w:val="0004400F"/>
    <w:rsid w:val="0004406B"/>
    <w:rsid w:val="00044726"/>
    <w:rsid w:val="0004511A"/>
    <w:rsid w:val="00046627"/>
    <w:rsid w:val="00050B83"/>
    <w:rsid w:val="00051407"/>
    <w:rsid w:val="00054342"/>
    <w:rsid w:val="00054B97"/>
    <w:rsid w:val="00054E7F"/>
    <w:rsid w:val="00056F00"/>
    <w:rsid w:val="00057A84"/>
    <w:rsid w:val="00057AC9"/>
    <w:rsid w:val="00061558"/>
    <w:rsid w:val="00061D6F"/>
    <w:rsid w:val="000627E5"/>
    <w:rsid w:val="00062CF4"/>
    <w:rsid w:val="000636C9"/>
    <w:rsid w:val="00067544"/>
    <w:rsid w:val="00067F83"/>
    <w:rsid w:val="0007153C"/>
    <w:rsid w:val="000721A7"/>
    <w:rsid w:val="0007303E"/>
    <w:rsid w:val="00073DA1"/>
    <w:rsid w:val="000742C6"/>
    <w:rsid w:val="00077B22"/>
    <w:rsid w:val="00080577"/>
    <w:rsid w:val="000813D8"/>
    <w:rsid w:val="00081C29"/>
    <w:rsid w:val="00082946"/>
    <w:rsid w:val="0008298E"/>
    <w:rsid w:val="00084E17"/>
    <w:rsid w:val="00084FD2"/>
    <w:rsid w:val="00085F15"/>
    <w:rsid w:val="00087E73"/>
    <w:rsid w:val="00090626"/>
    <w:rsid w:val="00093DD6"/>
    <w:rsid w:val="0009584E"/>
    <w:rsid w:val="00095FEE"/>
    <w:rsid w:val="000963B0"/>
    <w:rsid w:val="00096A37"/>
    <w:rsid w:val="00096BF7"/>
    <w:rsid w:val="000973C9"/>
    <w:rsid w:val="000A0871"/>
    <w:rsid w:val="000A10A6"/>
    <w:rsid w:val="000A13CE"/>
    <w:rsid w:val="000A1D9C"/>
    <w:rsid w:val="000A2CB3"/>
    <w:rsid w:val="000A33BC"/>
    <w:rsid w:val="000A3C79"/>
    <w:rsid w:val="000A3EB8"/>
    <w:rsid w:val="000A449E"/>
    <w:rsid w:val="000A5786"/>
    <w:rsid w:val="000A70D9"/>
    <w:rsid w:val="000A7788"/>
    <w:rsid w:val="000B0340"/>
    <w:rsid w:val="000B0EA3"/>
    <w:rsid w:val="000B0EB7"/>
    <w:rsid w:val="000B2883"/>
    <w:rsid w:val="000B3187"/>
    <w:rsid w:val="000B3C5C"/>
    <w:rsid w:val="000B6316"/>
    <w:rsid w:val="000B6D59"/>
    <w:rsid w:val="000B7265"/>
    <w:rsid w:val="000B7304"/>
    <w:rsid w:val="000C0122"/>
    <w:rsid w:val="000C09AB"/>
    <w:rsid w:val="000C1F59"/>
    <w:rsid w:val="000C2E27"/>
    <w:rsid w:val="000C3EDC"/>
    <w:rsid w:val="000C3F27"/>
    <w:rsid w:val="000C4BB0"/>
    <w:rsid w:val="000C530D"/>
    <w:rsid w:val="000C62F0"/>
    <w:rsid w:val="000D07BD"/>
    <w:rsid w:val="000D0D7D"/>
    <w:rsid w:val="000D136B"/>
    <w:rsid w:val="000D1607"/>
    <w:rsid w:val="000D2D77"/>
    <w:rsid w:val="000D4F99"/>
    <w:rsid w:val="000D5219"/>
    <w:rsid w:val="000D5787"/>
    <w:rsid w:val="000D59FF"/>
    <w:rsid w:val="000D6C98"/>
    <w:rsid w:val="000D7D1C"/>
    <w:rsid w:val="000D7E4E"/>
    <w:rsid w:val="000D7F6F"/>
    <w:rsid w:val="000E086D"/>
    <w:rsid w:val="000E1B33"/>
    <w:rsid w:val="000E210B"/>
    <w:rsid w:val="000E2415"/>
    <w:rsid w:val="000E2C4F"/>
    <w:rsid w:val="000E2DAB"/>
    <w:rsid w:val="000E3FF9"/>
    <w:rsid w:val="000E4049"/>
    <w:rsid w:val="000E4788"/>
    <w:rsid w:val="000E5102"/>
    <w:rsid w:val="000E54B2"/>
    <w:rsid w:val="000E68A7"/>
    <w:rsid w:val="000F075B"/>
    <w:rsid w:val="000F1299"/>
    <w:rsid w:val="000F153F"/>
    <w:rsid w:val="000F4562"/>
    <w:rsid w:val="000F4B10"/>
    <w:rsid w:val="000F553A"/>
    <w:rsid w:val="000F56FB"/>
    <w:rsid w:val="000F5D54"/>
    <w:rsid w:val="000F5E31"/>
    <w:rsid w:val="000F6CD3"/>
    <w:rsid w:val="000F7CC7"/>
    <w:rsid w:val="00100859"/>
    <w:rsid w:val="00100FCF"/>
    <w:rsid w:val="00101295"/>
    <w:rsid w:val="00101AC7"/>
    <w:rsid w:val="00101B9A"/>
    <w:rsid w:val="001029C4"/>
    <w:rsid w:val="001035F1"/>
    <w:rsid w:val="001042BB"/>
    <w:rsid w:val="00106EC7"/>
    <w:rsid w:val="00106FDF"/>
    <w:rsid w:val="001101A9"/>
    <w:rsid w:val="00111C70"/>
    <w:rsid w:val="00113F61"/>
    <w:rsid w:val="001144C6"/>
    <w:rsid w:val="001157CD"/>
    <w:rsid w:val="001168DF"/>
    <w:rsid w:val="00117F9B"/>
    <w:rsid w:val="001209A7"/>
    <w:rsid w:val="00121BE8"/>
    <w:rsid w:val="001231E2"/>
    <w:rsid w:val="00123890"/>
    <w:rsid w:val="00123C46"/>
    <w:rsid w:val="00124DC6"/>
    <w:rsid w:val="00126013"/>
    <w:rsid w:val="0012776C"/>
    <w:rsid w:val="0013080E"/>
    <w:rsid w:val="001308CB"/>
    <w:rsid w:val="00131007"/>
    <w:rsid w:val="00131919"/>
    <w:rsid w:val="001335A5"/>
    <w:rsid w:val="00134735"/>
    <w:rsid w:val="0013475C"/>
    <w:rsid w:val="00135401"/>
    <w:rsid w:val="0013543E"/>
    <w:rsid w:val="00135FC1"/>
    <w:rsid w:val="001369E0"/>
    <w:rsid w:val="00136FEC"/>
    <w:rsid w:val="00140A78"/>
    <w:rsid w:val="00140EB6"/>
    <w:rsid w:val="00141B4A"/>
    <w:rsid w:val="00142060"/>
    <w:rsid w:val="001421C3"/>
    <w:rsid w:val="001425F7"/>
    <w:rsid w:val="001429AB"/>
    <w:rsid w:val="00143B33"/>
    <w:rsid w:val="00143C04"/>
    <w:rsid w:val="0014588F"/>
    <w:rsid w:val="001459BE"/>
    <w:rsid w:val="00146441"/>
    <w:rsid w:val="0015156D"/>
    <w:rsid w:val="00151B0B"/>
    <w:rsid w:val="00152573"/>
    <w:rsid w:val="00152AD2"/>
    <w:rsid w:val="00152CEF"/>
    <w:rsid w:val="00153E63"/>
    <w:rsid w:val="00154B3D"/>
    <w:rsid w:val="00155D61"/>
    <w:rsid w:val="001561F5"/>
    <w:rsid w:val="001562B5"/>
    <w:rsid w:val="00160A10"/>
    <w:rsid w:val="001613FE"/>
    <w:rsid w:val="00161C04"/>
    <w:rsid w:val="00162069"/>
    <w:rsid w:val="00164C77"/>
    <w:rsid w:val="00164E35"/>
    <w:rsid w:val="00166BDE"/>
    <w:rsid w:val="00167A7F"/>
    <w:rsid w:val="00170698"/>
    <w:rsid w:val="00171955"/>
    <w:rsid w:val="0017459E"/>
    <w:rsid w:val="00174C42"/>
    <w:rsid w:val="00174FCC"/>
    <w:rsid w:val="0017654F"/>
    <w:rsid w:val="001769BF"/>
    <w:rsid w:val="00177003"/>
    <w:rsid w:val="001806EA"/>
    <w:rsid w:val="00180FF5"/>
    <w:rsid w:val="00181F04"/>
    <w:rsid w:val="00182969"/>
    <w:rsid w:val="0018397B"/>
    <w:rsid w:val="00183FB9"/>
    <w:rsid w:val="001842A6"/>
    <w:rsid w:val="001842F2"/>
    <w:rsid w:val="00184D7E"/>
    <w:rsid w:val="00184F35"/>
    <w:rsid w:val="001855CD"/>
    <w:rsid w:val="001858A1"/>
    <w:rsid w:val="001867C5"/>
    <w:rsid w:val="00187077"/>
    <w:rsid w:val="00187134"/>
    <w:rsid w:val="00190DD3"/>
    <w:rsid w:val="00190E18"/>
    <w:rsid w:val="00191626"/>
    <w:rsid w:val="001927E8"/>
    <w:rsid w:val="001953C8"/>
    <w:rsid w:val="00195B0B"/>
    <w:rsid w:val="00195D16"/>
    <w:rsid w:val="0019744E"/>
    <w:rsid w:val="00197933"/>
    <w:rsid w:val="001A0DE1"/>
    <w:rsid w:val="001A1B49"/>
    <w:rsid w:val="001A2D1E"/>
    <w:rsid w:val="001A346A"/>
    <w:rsid w:val="001A713A"/>
    <w:rsid w:val="001A7965"/>
    <w:rsid w:val="001A7C2E"/>
    <w:rsid w:val="001B0448"/>
    <w:rsid w:val="001B0982"/>
    <w:rsid w:val="001B0A61"/>
    <w:rsid w:val="001B0F65"/>
    <w:rsid w:val="001B19CE"/>
    <w:rsid w:val="001B208D"/>
    <w:rsid w:val="001B37B5"/>
    <w:rsid w:val="001B4186"/>
    <w:rsid w:val="001B4AEA"/>
    <w:rsid w:val="001B4BAD"/>
    <w:rsid w:val="001B5F0A"/>
    <w:rsid w:val="001B6A29"/>
    <w:rsid w:val="001B6FF0"/>
    <w:rsid w:val="001B74D9"/>
    <w:rsid w:val="001C017E"/>
    <w:rsid w:val="001C01DB"/>
    <w:rsid w:val="001C0283"/>
    <w:rsid w:val="001C113A"/>
    <w:rsid w:val="001C23FF"/>
    <w:rsid w:val="001C2E1D"/>
    <w:rsid w:val="001C2E25"/>
    <w:rsid w:val="001C37C5"/>
    <w:rsid w:val="001C3BA3"/>
    <w:rsid w:val="001C41E3"/>
    <w:rsid w:val="001C51DB"/>
    <w:rsid w:val="001C58A3"/>
    <w:rsid w:val="001C6519"/>
    <w:rsid w:val="001C7491"/>
    <w:rsid w:val="001D24FA"/>
    <w:rsid w:val="001D34B1"/>
    <w:rsid w:val="001D4482"/>
    <w:rsid w:val="001D49F9"/>
    <w:rsid w:val="001D53D4"/>
    <w:rsid w:val="001D5758"/>
    <w:rsid w:val="001D6497"/>
    <w:rsid w:val="001D769D"/>
    <w:rsid w:val="001D7CE4"/>
    <w:rsid w:val="001E1055"/>
    <w:rsid w:val="001E2018"/>
    <w:rsid w:val="001E218F"/>
    <w:rsid w:val="001E3A0D"/>
    <w:rsid w:val="001E3FE3"/>
    <w:rsid w:val="001E4D92"/>
    <w:rsid w:val="001E6636"/>
    <w:rsid w:val="001E6A8E"/>
    <w:rsid w:val="001E79E4"/>
    <w:rsid w:val="001F0600"/>
    <w:rsid w:val="001F097B"/>
    <w:rsid w:val="001F13EF"/>
    <w:rsid w:val="001F16B6"/>
    <w:rsid w:val="001F1979"/>
    <w:rsid w:val="001F1E20"/>
    <w:rsid w:val="001F39C4"/>
    <w:rsid w:val="001F3CA2"/>
    <w:rsid w:val="001F54AA"/>
    <w:rsid w:val="001F7761"/>
    <w:rsid w:val="00200DD5"/>
    <w:rsid w:val="00201718"/>
    <w:rsid w:val="00201E20"/>
    <w:rsid w:val="00202802"/>
    <w:rsid w:val="00205D9C"/>
    <w:rsid w:val="00205DE8"/>
    <w:rsid w:val="0020656B"/>
    <w:rsid w:val="002071E2"/>
    <w:rsid w:val="002073FD"/>
    <w:rsid w:val="00207B9B"/>
    <w:rsid w:val="00210161"/>
    <w:rsid w:val="0021041B"/>
    <w:rsid w:val="0021258E"/>
    <w:rsid w:val="0021404F"/>
    <w:rsid w:val="00214446"/>
    <w:rsid w:val="00215A6F"/>
    <w:rsid w:val="00216C44"/>
    <w:rsid w:val="00217D6E"/>
    <w:rsid w:val="002231E5"/>
    <w:rsid w:val="0022325D"/>
    <w:rsid w:val="00223A96"/>
    <w:rsid w:val="0022443C"/>
    <w:rsid w:val="002247B8"/>
    <w:rsid w:val="00225DFC"/>
    <w:rsid w:val="00226017"/>
    <w:rsid w:val="00226C98"/>
    <w:rsid w:val="002274CF"/>
    <w:rsid w:val="00230B14"/>
    <w:rsid w:val="00230B38"/>
    <w:rsid w:val="00231D30"/>
    <w:rsid w:val="002320B1"/>
    <w:rsid w:val="00233A4D"/>
    <w:rsid w:val="00233B54"/>
    <w:rsid w:val="00234757"/>
    <w:rsid w:val="002363D6"/>
    <w:rsid w:val="00237765"/>
    <w:rsid w:val="00240944"/>
    <w:rsid w:val="00240D61"/>
    <w:rsid w:val="00242A49"/>
    <w:rsid w:val="00242A76"/>
    <w:rsid w:val="00242BF7"/>
    <w:rsid w:val="002443FC"/>
    <w:rsid w:val="00244F69"/>
    <w:rsid w:val="0024575C"/>
    <w:rsid w:val="00245DC1"/>
    <w:rsid w:val="0024628F"/>
    <w:rsid w:val="002464B4"/>
    <w:rsid w:val="0024749B"/>
    <w:rsid w:val="00250A1A"/>
    <w:rsid w:val="00250A54"/>
    <w:rsid w:val="00251BA0"/>
    <w:rsid w:val="00252601"/>
    <w:rsid w:val="002529EE"/>
    <w:rsid w:val="00253ADD"/>
    <w:rsid w:val="00253F5C"/>
    <w:rsid w:val="00253F9C"/>
    <w:rsid w:val="00255BBE"/>
    <w:rsid w:val="00256448"/>
    <w:rsid w:val="002573FF"/>
    <w:rsid w:val="00257B7F"/>
    <w:rsid w:val="00261A7B"/>
    <w:rsid w:val="0026246F"/>
    <w:rsid w:val="00263C16"/>
    <w:rsid w:val="00265BD6"/>
    <w:rsid w:val="0026607F"/>
    <w:rsid w:val="0026633C"/>
    <w:rsid w:val="00267FF0"/>
    <w:rsid w:val="002704F6"/>
    <w:rsid w:val="00270ED6"/>
    <w:rsid w:val="002721A4"/>
    <w:rsid w:val="00272208"/>
    <w:rsid w:val="0027266C"/>
    <w:rsid w:val="0027388F"/>
    <w:rsid w:val="00274F59"/>
    <w:rsid w:val="00276E29"/>
    <w:rsid w:val="00280783"/>
    <w:rsid w:val="00280B98"/>
    <w:rsid w:val="002821ED"/>
    <w:rsid w:val="002823F1"/>
    <w:rsid w:val="0028271B"/>
    <w:rsid w:val="00283F10"/>
    <w:rsid w:val="002843AD"/>
    <w:rsid w:val="0028567B"/>
    <w:rsid w:val="00285FC9"/>
    <w:rsid w:val="00286149"/>
    <w:rsid w:val="00287763"/>
    <w:rsid w:val="00287E24"/>
    <w:rsid w:val="00290411"/>
    <w:rsid w:val="00290567"/>
    <w:rsid w:val="002913D5"/>
    <w:rsid w:val="002915B9"/>
    <w:rsid w:val="00291D3C"/>
    <w:rsid w:val="0029278D"/>
    <w:rsid w:val="00292EB7"/>
    <w:rsid w:val="0029314A"/>
    <w:rsid w:val="002941FA"/>
    <w:rsid w:val="002948D9"/>
    <w:rsid w:val="00295B89"/>
    <w:rsid w:val="0029631A"/>
    <w:rsid w:val="002965E6"/>
    <w:rsid w:val="002A1D71"/>
    <w:rsid w:val="002A1E68"/>
    <w:rsid w:val="002A4E33"/>
    <w:rsid w:val="002A55FE"/>
    <w:rsid w:val="002A663F"/>
    <w:rsid w:val="002A6AF0"/>
    <w:rsid w:val="002A72F4"/>
    <w:rsid w:val="002A730F"/>
    <w:rsid w:val="002B0239"/>
    <w:rsid w:val="002B1622"/>
    <w:rsid w:val="002B1FDF"/>
    <w:rsid w:val="002B2CD0"/>
    <w:rsid w:val="002B60EC"/>
    <w:rsid w:val="002B69F0"/>
    <w:rsid w:val="002B71C6"/>
    <w:rsid w:val="002B734F"/>
    <w:rsid w:val="002B7396"/>
    <w:rsid w:val="002C0B3F"/>
    <w:rsid w:val="002C113B"/>
    <w:rsid w:val="002C12C5"/>
    <w:rsid w:val="002C2A4F"/>
    <w:rsid w:val="002C2E80"/>
    <w:rsid w:val="002C40D2"/>
    <w:rsid w:val="002C429A"/>
    <w:rsid w:val="002C6124"/>
    <w:rsid w:val="002C75AE"/>
    <w:rsid w:val="002D063F"/>
    <w:rsid w:val="002D2D46"/>
    <w:rsid w:val="002E209C"/>
    <w:rsid w:val="002E2462"/>
    <w:rsid w:val="002E2E8E"/>
    <w:rsid w:val="002E3FF7"/>
    <w:rsid w:val="002E4F6D"/>
    <w:rsid w:val="002E4F78"/>
    <w:rsid w:val="002E56E0"/>
    <w:rsid w:val="002E70AA"/>
    <w:rsid w:val="002F0978"/>
    <w:rsid w:val="002F0F11"/>
    <w:rsid w:val="002F24A9"/>
    <w:rsid w:val="002F2E83"/>
    <w:rsid w:val="002F48C9"/>
    <w:rsid w:val="002F4B54"/>
    <w:rsid w:val="002F554D"/>
    <w:rsid w:val="002F5D16"/>
    <w:rsid w:val="002F63B6"/>
    <w:rsid w:val="002F7AD2"/>
    <w:rsid w:val="00301D17"/>
    <w:rsid w:val="00302BAF"/>
    <w:rsid w:val="00302E8E"/>
    <w:rsid w:val="00303337"/>
    <w:rsid w:val="0030591C"/>
    <w:rsid w:val="00305C3F"/>
    <w:rsid w:val="0031060F"/>
    <w:rsid w:val="0031268B"/>
    <w:rsid w:val="00312740"/>
    <w:rsid w:val="00312900"/>
    <w:rsid w:val="00312BFF"/>
    <w:rsid w:val="00312E58"/>
    <w:rsid w:val="003141E9"/>
    <w:rsid w:val="00315143"/>
    <w:rsid w:val="0031566B"/>
    <w:rsid w:val="00315BE2"/>
    <w:rsid w:val="00317EB6"/>
    <w:rsid w:val="00320034"/>
    <w:rsid w:val="0032062E"/>
    <w:rsid w:val="0032114A"/>
    <w:rsid w:val="00321DC8"/>
    <w:rsid w:val="0032211C"/>
    <w:rsid w:val="00323048"/>
    <w:rsid w:val="003234CB"/>
    <w:rsid w:val="00323A11"/>
    <w:rsid w:val="00333228"/>
    <w:rsid w:val="00334317"/>
    <w:rsid w:val="00334506"/>
    <w:rsid w:val="00334E55"/>
    <w:rsid w:val="00335C02"/>
    <w:rsid w:val="003376F6"/>
    <w:rsid w:val="00340355"/>
    <w:rsid w:val="00341060"/>
    <w:rsid w:val="00341154"/>
    <w:rsid w:val="003413AE"/>
    <w:rsid w:val="003416BE"/>
    <w:rsid w:val="00341B93"/>
    <w:rsid w:val="003427A5"/>
    <w:rsid w:val="003447B7"/>
    <w:rsid w:val="00345DEA"/>
    <w:rsid w:val="003461E9"/>
    <w:rsid w:val="0034636F"/>
    <w:rsid w:val="00346ACE"/>
    <w:rsid w:val="00347C7F"/>
    <w:rsid w:val="00347EE9"/>
    <w:rsid w:val="0035193C"/>
    <w:rsid w:val="00351B15"/>
    <w:rsid w:val="00352548"/>
    <w:rsid w:val="00353C60"/>
    <w:rsid w:val="00354031"/>
    <w:rsid w:val="003545A8"/>
    <w:rsid w:val="00354D68"/>
    <w:rsid w:val="003553B1"/>
    <w:rsid w:val="00355974"/>
    <w:rsid w:val="00355DB0"/>
    <w:rsid w:val="0036019F"/>
    <w:rsid w:val="00360768"/>
    <w:rsid w:val="00360AE3"/>
    <w:rsid w:val="003614C5"/>
    <w:rsid w:val="0036151A"/>
    <w:rsid w:val="0036190E"/>
    <w:rsid w:val="00363D94"/>
    <w:rsid w:val="00364CAE"/>
    <w:rsid w:val="003650BC"/>
    <w:rsid w:val="00366270"/>
    <w:rsid w:val="003672C6"/>
    <w:rsid w:val="00367740"/>
    <w:rsid w:val="00367A39"/>
    <w:rsid w:val="00370808"/>
    <w:rsid w:val="003717CD"/>
    <w:rsid w:val="00373BE9"/>
    <w:rsid w:val="0037590A"/>
    <w:rsid w:val="003775DC"/>
    <w:rsid w:val="00377F47"/>
    <w:rsid w:val="00380B79"/>
    <w:rsid w:val="00380EFF"/>
    <w:rsid w:val="0038305E"/>
    <w:rsid w:val="003831CE"/>
    <w:rsid w:val="003833FD"/>
    <w:rsid w:val="003835BD"/>
    <w:rsid w:val="0038384E"/>
    <w:rsid w:val="00385551"/>
    <w:rsid w:val="003855DF"/>
    <w:rsid w:val="00386918"/>
    <w:rsid w:val="0038774B"/>
    <w:rsid w:val="00387DE7"/>
    <w:rsid w:val="003906CE"/>
    <w:rsid w:val="00390E89"/>
    <w:rsid w:val="00391110"/>
    <w:rsid w:val="003918A0"/>
    <w:rsid w:val="00391B9A"/>
    <w:rsid w:val="00392A79"/>
    <w:rsid w:val="003943A3"/>
    <w:rsid w:val="00395A3B"/>
    <w:rsid w:val="00396735"/>
    <w:rsid w:val="00397294"/>
    <w:rsid w:val="00397C8A"/>
    <w:rsid w:val="003A0C31"/>
    <w:rsid w:val="003A0DA7"/>
    <w:rsid w:val="003A0F15"/>
    <w:rsid w:val="003A2A5E"/>
    <w:rsid w:val="003A2A9F"/>
    <w:rsid w:val="003A33F0"/>
    <w:rsid w:val="003A4402"/>
    <w:rsid w:val="003A46E9"/>
    <w:rsid w:val="003A50BF"/>
    <w:rsid w:val="003A5C85"/>
    <w:rsid w:val="003A6F01"/>
    <w:rsid w:val="003A76F5"/>
    <w:rsid w:val="003A7AC5"/>
    <w:rsid w:val="003B0CCC"/>
    <w:rsid w:val="003B1893"/>
    <w:rsid w:val="003B25F7"/>
    <w:rsid w:val="003B26C5"/>
    <w:rsid w:val="003B2783"/>
    <w:rsid w:val="003B3125"/>
    <w:rsid w:val="003B3916"/>
    <w:rsid w:val="003B3DA0"/>
    <w:rsid w:val="003B5276"/>
    <w:rsid w:val="003B6DCC"/>
    <w:rsid w:val="003C111D"/>
    <w:rsid w:val="003C1441"/>
    <w:rsid w:val="003C261F"/>
    <w:rsid w:val="003C65FD"/>
    <w:rsid w:val="003C66BE"/>
    <w:rsid w:val="003C7701"/>
    <w:rsid w:val="003C7D2E"/>
    <w:rsid w:val="003D0424"/>
    <w:rsid w:val="003D1A24"/>
    <w:rsid w:val="003D1C1D"/>
    <w:rsid w:val="003D22CE"/>
    <w:rsid w:val="003D2FDB"/>
    <w:rsid w:val="003D3838"/>
    <w:rsid w:val="003D3FDC"/>
    <w:rsid w:val="003D465D"/>
    <w:rsid w:val="003D58E7"/>
    <w:rsid w:val="003D762B"/>
    <w:rsid w:val="003D7CF9"/>
    <w:rsid w:val="003D7EFB"/>
    <w:rsid w:val="003E0951"/>
    <w:rsid w:val="003E0CFD"/>
    <w:rsid w:val="003E14C0"/>
    <w:rsid w:val="003E169D"/>
    <w:rsid w:val="003E17BA"/>
    <w:rsid w:val="003E17EC"/>
    <w:rsid w:val="003E1B3D"/>
    <w:rsid w:val="003E2545"/>
    <w:rsid w:val="003E2A46"/>
    <w:rsid w:val="003E40E7"/>
    <w:rsid w:val="003E413D"/>
    <w:rsid w:val="003E4B7B"/>
    <w:rsid w:val="003E5B28"/>
    <w:rsid w:val="003E798E"/>
    <w:rsid w:val="003F11D0"/>
    <w:rsid w:val="003F13F5"/>
    <w:rsid w:val="003F1DC8"/>
    <w:rsid w:val="003F20CB"/>
    <w:rsid w:val="003F2688"/>
    <w:rsid w:val="003F2E4C"/>
    <w:rsid w:val="003F376E"/>
    <w:rsid w:val="003F3A66"/>
    <w:rsid w:val="003F45FD"/>
    <w:rsid w:val="003F494B"/>
    <w:rsid w:val="003F702D"/>
    <w:rsid w:val="003F7719"/>
    <w:rsid w:val="003F7C27"/>
    <w:rsid w:val="00400D98"/>
    <w:rsid w:val="00400F33"/>
    <w:rsid w:val="004011C3"/>
    <w:rsid w:val="00407CE9"/>
    <w:rsid w:val="004123A6"/>
    <w:rsid w:val="00412CF2"/>
    <w:rsid w:val="00413086"/>
    <w:rsid w:val="0041381E"/>
    <w:rsid w:val="00414BBB"/>
    <w:rsid w:val="00416940"/>
    <w:rsid w:val="00416DD0"/>
    <w:rsid w:val="00416FC7"/>
    <w:rsid w:val="00417F30"/>
    <w:rsid w:val="004201A7"/>
    <w:rsid w:val="00420C06"/>
    <w:rsid w:val="00422293"/>
    <w:rsid w:val="004229A6"/>
    <w:rsid w:val="00422AF2"/>
    <w:rsid w:val="0042347A"/>
    <w:rsid w:val="004237A7"/>
    <w:rsid w:val="00423A18"/>
    <w:rsid w:val="00426868"/>
    <w:rsid w:val="004272BC"/>
    <w:rsid w:val="00427E9D"/>
    <w:rsid w:val="00430B4D"/>
    <w:rsid w:val="00431337"/>
    <w:rsid w:val="00432056"/>
    <w:rsid w:val="004323D8"/>
    <w:rsid w:val="00433990"/>
    <w:rsid w:val="00435A2D"/>
    <w:rsid w:val="00437379"/>
    <w:rsid w:val="00440156"/>
    <w:rsid w:val="00441026"/>
    <w:rsid w:val="00441E56"/>
    <w:rsid w:val="004422B6"/>
    <w:rsid w:val="00442E80"/>
    <w:rsid w:val="00443904"/>
    <w:rsid w:val="0044423E"/>
    <w:rsid w:val="0044663C"/>
    <w:rsid w:val="00447A44"/>
    <w:rsid w:val="00450427"/>
    <w:rsid w:val="0045234D"/>
    <w:rsid w:val="004524CE"/>
    <w:rsid w:val="0045385F"/>
    <w:rsid w:val="0045532C"/>
    <w:rsid w:val="00460AAA"/>
    <w:rsid w:val="00461206"/>
    <w:rsid w:val="004614EB"/>
    <w:rsid w:val="00463534"/>
    <w:rsid w:val="0046396B"/>
    <w:rsid w:val="00464A2F"/>
    <w:rsid w:val="00465719"/>
    <w:rsid w:val="00465F5F"/>
    <w:rsid w:val="004669E4"/>
    <w:rsid w:val="004700C8"/>
    <w:rsid w:val="0047284A"/>
    <w:rsid w:val="00472A1E"/>
    <w:rsid w:val="0047321B"/>
    <w:rsid w:val="0047380F"/>
    <w:rsid w:val="00474002"/>
    <w:rsid w:val="004746EE"/>
    <w:rsid w:val="004753BD"/>
    <w:rsid w:val="00475787"/>
    <w:rsid w:val="00475794"/>
    <w:rsid w:val="00475E56"/>
    <w:rsid w:val="004776F1"/>
    <w:rsid w:val="0048100F"/>
    <w:rsid w:val="00482C25"/>
    <w:rsid w:val="00483D3E"/>
    <w:rsid w:val="004841E6"/>
    <w:rsid w:val="004848B5"/>
    <w:rsid w:val="004848FB"/>
    <w:rsid w:val="00484ADA"/>
    <w:rsid w:val="00484C18"/>
    <w:rsid w:val="004853D2"/>
    <w:rsid w:val="00487BB2"/>
    <w:rsid w:val="00493748"/>
    <w:rsid w:val="0049379D"/>
    <w:rsid w:val="004939DB"/>
    <w:rsid w:val="00494BDB"/>
    <w:rsid w:val="00496C3B"/>
    <w:rsid w:val="00496F10"/>
    <w:rsid w:val="00497972"/>
    <w:rsid w:val="00497D3D"/>
    <w:rsid w:val="004A12A5"/>
    <w:rsid w:val="004A12B6"/>
    <w:rsid w:val="004A1427"/>
    <w:rsid w:val="004A1B77"/>
    <w:rsid w:val="004A27C5"/>
    <w:rsid w:val="004A3ED6"/>
    <w:rsid w:val="004A4CBB"/>
    <w:rsid w:val="004A612B"/>
    <w:rsid w:val="004A73E5"/>
    <w:rsid w:val="004A79AF"/>
    <w:rsid w:val="004B0E1D"/>
    <w:rsid w:val="004B1338"/>
    <w:rsid w:val="004B17BA"/>
    <w:rsid w:val="004B464C"/>
    <w:rsid w:val="004B47C3"/>
    <w:rsid w:val="004B4DAC"/>
    <w:rsid w:val="004B5B34"/>
    <w:rsid w:val="004B6804"/>
    <w:rsid w:val="004B7D67"/>
    <w:rsid w:val="004B7FC4"/>
    <w:rsid w:val="004C076E"/>
    <w:rsid w:val="004C0EF3"/>
    <w:rsid w:val="004C2449"/>
    <w:rsid w:val="004C35CD"/>
    <w:rsid w:val="004C3747"/>
    <w:rsid w:val="004C48D9"/>
    <w:rsid w:val="004C7016"/>
    <w:rsid w:val="004C76DC"/>
    <w:rsid w:val="004D0599"/>
    <w:rsid w:val="004D0674"/>
    <w:rsid w:val="004D20DC"/>
    <w:rsid w:val="004D2570"/>
    <w:rsid w:val="004D2C36"/>
    <w:rsid w:val="004D37CC"/>
    <w:rsid w:val="004D48B4"/>
    <w:rsid w:val="004D672A"/>
    <w:rsid w:val="004E0D12"/>
    <w:rsid w:val="004E196D"/>
    <w:rsid w:val="004E1D45"/>
    <w:rsid w:val="004E3463"/>
    <w:rsid w:val="004E4936"/>
    <w:rsid w:val="004E5012"/>
    <w:rsid w:val="004E548B"/>
    <w:rsid w:val="004E73D2"/>
    <w:rsid w:val="004F0143"/>
    <w:rsid w:val="004F14A8"/>
    <w:rsid w:val="004F17CD"/>
    <w:rsid w:val="004F3946"/>
    <w:rsid w:val="004F4C5E"/>
    <w:rsid w:val="004F59AB"/>
    <w:rsid w:val="004F6510"/>
    <w:rsid w:val="004F7913"/>
    <w:rsid w:val="005000DB"/>
    <w:rsid w:val="00500560"/>
    <w:rsid w:val="00500E87"/>
    <w:rsid w:val="00501DEF"/>
    <w:rsid w:val="00503CAA"/>
    <w:rsid w:val="005048B4"/>
    <w:rsid w:val="00505051"/>
    <w:rsid w:val="00505A27"/>
    <w:rsid w:val="00506A0E"/>
    <w:rsid w:val="005122B3"/>
    <w:rsid w:val="00513513"/>
    <w:rsid w:val="00513D98"/>
    <w:rsid w:val="00515D36"/>
    <w:rsid w:val="00516116"/>
    <w:rsid w:val="00516799"/>
    <w:rsid w:val="0051718C"/>
    <w:rsid w:val="00517FB3"/>
    <w:rsid w:val="00520779"/>
    <w:rsid w:val="00522C5B"/>
    <w:rsid w:val="00522EAC"/>
    <w:rsid w:val="00523A79"/>
    <w:rsid w:val="00525379"/>
    <w:rsid w:val="00526C04"/>
    <w:rsid w:val="00527BE0"/>
    <w:rsid w:val="005314AB"/>
    <w:rsid w:val="00532144"/>
    <w:rsid w:val="00533188"/>
    <w:rsid w:val="00533ACE"/>
    <w:rsid w:val="00533EB5"/>
    <w:rsid w:val="00535E19"/>
    <w:rsid w:val="0053725B"/>
    <w:rsid w:val="00537BFF"/>
    <w:rsid w:val="00540359"/>
    <w:rsid w:val="00541855"/>
    <w:rsid w:val="0054227D"/>
    <w:rsid w:val="005424D0"/>
    <w:rsid w:val="00544828"/>
    <w:rsid w:val="005455B1"/>
    <w:rsid w:val="005457B9"/>
    <w:rsid w:val="005459A9"/>
    <w:rsid w:val="00545D8D"/>
    <w:rsid w:val="00545FAE"/>
    <w:rsid w:val="005475DF"/>
    <w:rsid w:val="0054781F"/>
    <w:rsid w:val="0055043F"/>
    <w:rsid w:val="00551374"/>
    <w:rsid w:val="0055153C"/>
    <w:rsid w:val="005516E5"/>
    <w:rsid w:val="0055375D"/>
    <w:rsid w:val="00554F17"/>
    <w:rsid w:val="00557528"/>
    <w:rsid w:val="00557DE4"/>
    <w:rsid w:val="00561810"/>
    <w:rsid w:val="005619F4"/>
    <w:rsid w:val="0056264C"/>
    <w:rsid w:val="005626EB"/>
    <w:rsid w:val="0056368C"/>
    <w:rsid w:val="00563B3E"/>
    <w:rsid w:val="005643EA"/>
    <w:rsid w:val="00565ED7"/>
    <w:rsid w:val="005669DD"/>
    <w:rsid w:val="00566C11"/>
    <w:rsid w:val="005707AA"/>
    <w:rsid w:val="00572CB0"/>
    <w:rsid w:val="00577598"/>
    <w:rsid w:val="00577BD9"/>
    <w:rsid w:val="00577F99"/>
    <w:rsid w:val="00580509"/>
    <w:rsid w:val="005812D7"/>
    <w:rsid w:val="00581A0F"/>
    <w:rsid w:val="00582798"/>
    <w:rsid w:val="00582CB5"/>
    <w:rsid w:val="00583557"/>
    <w:rsid w:val="00583AF8"/>
    <w:rsid w:val="00583E83"/>
    <w:rsid w:val="00585FE6"/>
    <w:rsid w:val="00586281"/>
    <w:rsid w:val="005865B4"/>
    <w:rsid w:val="005867D7"/>
    <w:rsid w:val="00587D71"/>
    <w:rsid w:val="00587D79"/>
    <w:rsid w:val="00590353"/>
    <w:rsid w:val="00590BAD"/>
    <w:rsid w:val="00590F6E"/>
    <w:rsid w:val="0059104D"/>
    <w:rsid w:val="00592F62"/>
    <w:rsid w:val="0059421B"/>
    <w:rsid w:val="00595890"/>
    <w:rsid w:val="005A1272"/>
    <w:rsid w:val="005A1736"/>
    <w:rsid w:val="005A34DF"/>
    <w:rsid w:val="005A4BA2"/>
    <w:rsid w:val="005A56A3"/>
    <w:rsid w:val="005A5869"/>
    <w:rsid w:val="005A5927"/>
    <w:rsid w:val="005B0582"/>
    <w:rsid w:val="005B0696"/>
    <w:rsid w:val="005B0D8D"/>
    <w:rsid w:val="005B2E85"/>
    <w:rsid w:val="005B44E5"/>
    <w:rsid w:val="005B610E"/>
    <w:rsid w:val="005C05FA"/>
    <w:rsid w:val="005C0E51"/>
    <w:rsid w:val="005C20B6"/>
    <w:rsid w:val="005C28C9"/>
    <w:rsid w:val="005C356D"/>
    <w:rsid w:val="005C3C75"/>
    <w:rsid w:val="005C402E"/>
    <w:rsid w:val="005C47EF"/>
    <w:rsid w:val="005C6239"/>
    <w:rsid w:val="005C6361"/>
    <w:rsid w:val="005D03E7"/>
    <w:rsid w:val="005D0B97"/>
    <w:rsid w:val="005D0C3F"/>
    <w:rsid w:val="005D1479"/>
    <w:rsid w:val="005D1DF5"/>
    <w:rsid w:val="005D35AE"/>
    <w:rsid w:val="005D3642"/>
    <w:rsid w:val="005D4074"/>
    <w:rsid w:val="005D496D"/>
    <w:rsid w:val="005D4B9F"/>
    <w:rsid w:val="005E0A27"/>
    <w:rsid w:val="005E1B4E"/>
    <w:rsid w:val="005E311E"/>
    <w:rsid w:val="005E3128"/>
    <w:rsid w:val="005E3C33"/>
    <w:rsid w:val="005E5703"/>
    <w:rsid w:val="005E5B53"/>
    <w:rsid w:val="005E74F7"/>
    <w:rsid w:val="005E754C"/>
    <w:rsid w:val="005E7CDE"/>
    <w:rsid w:val="005F0181"/>
    <w:rsid w:val="005F0716"/>
    <w:rsid w:val="005F132C"/>
    <w:rsid w:val="005F1CBD"/>
    <w:rsid w:val="005F31C7"/>
    <w:rsid w:val="005F527C"/>
    <w:rsid w:val="005F6CF1"/>
    <w:rsid w:val="005F76A4"/>
    <w:rsid w:val="005F7DAC"/>
    <w:rsid w:val="00600CAC"/>
    <w:rsid w:val="00602784"/>
    <w:rsid w:val="0060315A"/>
    <w:rsid w:val="00606D31"/>
    <w:rsid w:val="0060736F"/>
    <w:rsid w:val="006105B8"/>
    <w:rsid w:val="00610E2C"/>
    <w:rsid w:val="00611EC5"/>
    <w:rsid w:val="00613881"/>
    <w:rsid w:val="0061794E"/>
    <w:rsid w:val="00620BD4"/>
    <w:rsid w:val="00621AE6"/>
    <w:rsid w:val="00623E05"/>
    <w:rsid w:val="0062507E"/>
    <w:rsid w:val="00626CFE"/>
    <w:rsid w:val="00627064"/>
    <w:rsid w:val="00627791"/>
    <w:rsid w:val="00627EC4"/>
    <w:rsid w:val="00630953"/>
    <w:rsid w:val="00630B33"/>
    <w:rsid w:val="00630D6B"/>
    <w:rsid w:val="00632081"/>
    <w:rsid w:val="00633699"/>
    <w:rsid w:val="00634477"/>
    <w:rsid w:val="00634A95"/>
    <w:rsid w:val="00634E39"/>
    <w:rsid w:val="00635E61"/>
    <w:rsid w:val="00635FF2"/>
    <w:rsid w:val="006376A2"/>
    <w:rsid w:val="00640742"/>
    <w:rsid w:val="00641C41"/>
    <w:rsid w:val="00643CB9"/>
    <w:rsid w:val="006443A4"/>
    <w:rsid w:val="0064745A"/>
    <w:rsid w:val="0065205A"/>
    <w:rsid w:val="00652A1A"/>
    <w:rsid w:val="00654312"/>
    <w:rsid w:val="0065567C"/>
    <w:rsid w:val="00656826"/>
    <w:rsid w:val="00656855"/>
    <w:rsid w:val="00656C14"/>
    <w:rsid w:val="00662045"/>
    <w:rsid w:val="00662D3F"/>
    <w:rsid w:val="006634AB"/>
    <w:rsid w:val="006635F2"/>
    <w:rsid w:val="00665273"/>
    <w:rsid w:val="00665A0B"/>
    <w:rsid w:val="0066692C"/>
    <w:rsid w:val="00670B92"/>
    <w:rsid w:val="00671554"/>
    <w:rsid w:val="00671FA6"/>
    <w:rsid w:val="006738E3"/>
    <w:rsid w:val="00681D5D"/>
    <w:rsid w:val="0068201E"/>
    <w:rsid w:val="006823C6"/>
    <w:rsid w:val="00682C92"/>
    <w:rsid w:val="0068474E"/>
    <w:rsid w:val="0068577E"/>
    <w:rsid w:val="00685867"/>
    <w:rsid w:val="0068691B"/>
    <w:rsid w:val="00687910"/>
    <w:rsid w:val="0069152D"/>
    <w:rsid w:val="00691B0E"/>
    <w:rsid w:val="006930D8"/>
    <w:rsid w:val="00693A68"/>
    <w:rsid w:val="00694170"/>
    <w:rsid w:val="0069494D"/>
    <w:rsid w:val="00694A12"/>
    <w:rsid w:val="00695B12"/>
    <w:rsid w:val="00695C13"/>
    <w:rsid w:val="006961BA"/>
    <w:rsid w:val="00697168"/>
    <w:rsid w:val="006973FA"/>
    <w:rsid w:val="00697B3D"/>
    <w:rsid w:val="006A1157"/>
    <w:rsid w:val="006A2F2F"/>
    <w:rsid w:val="006A301C"/>
    <w:rsid w:val="006A40CD"/>
    <w:rsid w:val="006B150E"/>
    <w:rsid w:val="006B19A0"/>
    <w:rsid w:val="006B25C9"/>
    <w:rsid w:val="006B2BCB"/>
    <w:rsid w:val="006B4807"/>
    <w:rsid w:val="006B4C30"/>
    <w:rsid w:val="006B62FA"/>
    <w:rsid w:val="006B6657"/>
    <w:rsid w:val="006B7706"/>
    <w:rsid w:val="006B7755"/>
    <w:rsid w:val="006B775F"/>
    <w:rsid w:val="006B7772"/>
    <w:rsid w:val="006B7F1B"/>
    <w:rsid w:val="006C09D2"/>
    <w:rsid w:val="006C112E"/>
    <w:rsid w:val="006C356D"/>
    <w:rsid w:val="006C381B"/>
    <w:rsid w:val="006C5578"/>
    <w:rsid w:val="006C77CB"/>
    <w:rsid w:val="006D0A92"/>
    <w:rsid w:val="006D1ABA"/>
    <w:rsid w:val="006D1CE5"/>
    <w:rsid w:val="006D4BD2"/>
    <w:rsid w:val="006D55B1"/>
    <w:rsid w:val="006D56DF"/>
    <w:rsid w:val="006D5E99"/>
    <w:rsid w:val="006D66AB"/>
    <w:rsid w:val="006D6A45"/>
    <w:rsid w:val="006E15B3"/>
    <w:rsid w:val="006E1F9D"/>
    <w:rsid w:val="006E2BCC"/>
    <w:rsid w:val="006E7A81"/>
    <w:rsid w:val="006F06D0"/>
    <w:rsid w:val="006F176E"/>
    <w:rsid w:val="006F1F2F"/>
    <w:rsid w:val="006F2828"/>
    <w:rsid w:val="006F2DFE"/>
    <w:rsid w:val="006F3D2B"/>
    <w:rsid w:val="006F665C"/>
    <w:rsid w:val="006F686D"/>
    <w:rsid w:val="006F78B4"/>
    <w:rsid w:val="00702E1F"/>
    <w:rsid w:val="0070311A"/>
    <w:rsid w:val="00704AFD"/>
    <w:rsid w:val="007053B2"/>
    <w:rsid w:val="007053D2"/>
    <w:rsid w:val="007069FC"/>
    <w:rsid w:val="00707CA8"/>
    <w:rsid w:val="00707E58"/>
    <w:rsid w:val="007118AB"/>
    <w:rsid w:val="00714572"/>
    <w:rsid w:val="00717686"/>
    <w:rsid w:val="007176E0"/>
    <w:rsid w:val="00717982"/>
    <w:rsid w:val="00717EB9"/>
    <w:rsid w:val="007205A9"/>
    <w:rsid w:val="00720901"/>
    <w:rsid w:val="00721625"/>
    <w:rsid w:val="00721978"/>
    <w:rsid w:val="00721F42"/>
    <w:rsid w:val="00722A30"/>
    <w:rsid w:val="0072317A"/>
    <w:rsid w:val="00724F37"/>
    <w:rsid w:val="007251C0"/>
    <w:rsid w:val="00725CE7"/>
    <w:rsid w:val="00725F52"/>
    <w:rsid w:val="00726333"/>
    <w:rsid w:val="0073124A"/>
    <w:rsid w:val="00732694"/>
    <w:rsid w:val="00732CF0"/>
    <w:rsid w:val="00733AF7"/>
    <w:rsid w:val="007341B1"/>
    <w:rsid w:val="00735046"/>
    <w:rsid w:val="007354AA"/>
    <w:rsid w:val="007359C0"/>
    <w:rsid w:val="007360B2"/>
    <w:rsid w:val="007372C8"/>
    <w:rsid w:val="0074071A"/>
    <w:rsid w:val="00740906"/>
    <w:rsid w:val="00741A7B"/>
    <w:rsid w:val="00741BCD"/>
    <w:rsid w:val="00741C3A"/>
    <w:rsid w:val="00741D0E"/>
    <w:rsid w:val="00741FA3"/>
    <w:rsid w:val="007426BE"/>
    <w:rsid w:val="00742BE0"/>
    <w:rsid w:val="00743A2B"/>
    <w:rsid w:val="00743BA8"/>
    <w:rsid w:val="007453DE"/>
    <w:rsid w:val="00745CFA"/>
    <w:rsid w:val="00745DA6"/>
    <w:rsid w:val="00745EF9"/>
    <w:rsid w:val="0074682B"/>
    <w:rsid w:val="00746991"/>
    <w:rsid w:val="0074799F"/>
    <w:rsid w:val="0075042A"/>
    <w:rsid w:val="00750595"/>
    <w:rsid w:val="0075252B"/>
    <w:rsid w:val="00752C6A"/>
    <w:rsid w:val="007530FA"/>
    <w:rsid w:val="00753642"/>
    <w:rsid w:val="00754AFD"/>
    <w:rsid w:val="00754EE9"/>
    <w:rsid w:val="007563E3"/>
    <w:rsid w:val="00757C23"/>
    <w:rsid w:val="00757CE6"/>
    <w:rsid w:val="00757E65"/>
    <w:rsid w:val="007619D8"/>
    <w:rsid w:val="00761CAF"/>
    <w:rsid w:val="00762F88"/>
    <w:rsid w:val="0076471E"/>
    <w:rsid w:val="00764DE5"/>
    <w:rsid w:val="00765FC0"/>
    <w:rsid w:val="007663A9"/>
    <w:rsid w:val="007668AD"/>
    <w:rsid w:val="00766ADC"/>
    <w:rsid w:val="00766EBA"/>
    <w:rsid w:val="007676AA"/>
    <w:rsid w:val="007676EE"/>
    <w:rsid w:val="00771E21"/>
    <w:rsid w:val="00773B82"/>
    <w:rsid w:val="00774673"/>
    <w:rsid w:val="0077479F"/>
    <w:rsid w:val="00774CC7"/>
    <w:rsid w:val="00774F28"/>
    <w:rsid w:val="00775EE5"/>
    <w:rsid w:val="00776227"/>
    <w:rsid w:val="00776E64"/>
    <w:rsid w:val="00776FAD"/>
    <w:rsid w:val="00777629"/>
    <w:rsid w:val="00780CD0"/>
    <w:rsid w:val="007814BD"/>
    <w:rsid w:val="00781C76"/>
    <w:rsid w:val="00781F85"/>
    <w:rsid w:val="007829D3"/>
    <w:rsid w:val="00783219"/>
    <w:rsid w:val="0078353C"/>
    <w:rsid w:val="00784145"/>
    <w:rsid w:val="00785C08"/>
    <w:rsid w:val="00786FE2"/>
    <w:rsid w:val="00787500"/>
    <w:rsid w:val="00791884"/>
    <w:rsid w:val="0079232E"/>
    <w:rsid w:val="007924D4"/>
    <w:rsid w:val="007937CB"/>
    <w:rsid w:val="00795541"/>
    <w:rsid w:val="007974B2"/>
    <w:rsid w:val="007A2910"/>
    <w:rsid w:val="007A3889"/>
    <w:rsid w:val="007A39DE"/>
    <w:rsid w:val="007A3E34"/>
    <w:rsid w:val="007A4318"/>
    <w:rsid w:val="007B10A1"/>
    <w:rsid w:val="007B458B"/>
    <w:rsid w:val="007B4A07"/>
    <w:rsid w:val="007B5A7A"/>
    <w:rsid w:val="007C037F"/>
    <w:rsid w:val="007C189E"/>
    <w:rsid w:val="007C192E"/>
    <w:rsid w:val="007C4934"/>
    <w:rsid w:val="007C667B"/>
    <w:rsid w:val="007D1A70"/>
    <w:rsid w:val="007D1F84"/>
    <w:rsid w:val="007D208A"/>
    <w:rsid w:val="007D2BBE"/>
    <w:rsid w:val="007D2C6A"/>
    <w:rsid w:val="007D369E"/>
    <w:rsid w:val="007D376D"/>
    <w:rsid w:val="007D533A"/>
    <w:rsid w:val="007D767D"/>
    <w:rsid w:val="007E0708"/>
    <w:rsid w:val="007E1166"/>
    <w:rsid w:val="007E1BA5"/>
    <w:rsid w:val="007E21CA"/>
    <w:rsid w:val="007E2B84"/>
    <w:rsid w:val="007E2CE7"/>
    <w:rsid w:val="007E4376"/>
    <w:rsid w:val="007E4868"/>
    <w:rsid w:val="007E4DBF"/>
    <w:rsid w:val="007E4F1C"/>
    <w:rsid w:val="007E4F5D"/>
    <w:rsid w:val="007E5346"/>
    <w:rsid w:val="007E5A3E"/>
    <w:rsid w:val="007E61A3"/>
    <w:rsid w:val="007E61B8"/>
    <w:rsid w:val="007E64C2"/>
    <w:rsid w:val="007E70DF"/>
    <w:rsid w:val="007E73C3"/>
    <w:rsid w:val="007E7950"/>
    <w:rsid w:val="007F1B5C"/>
    <w:rsid w:val="007F2913"/>
    <w:rsid w:val="007F3046"/>
    <w:rsid w:val="007F3510"/>
    <w:rsid w:val="007F3712"/>
    <w:rsid w:val="007F491C"/>
    <w:rsid w:val="007F5A25"/>
    <w:rsid w:val="007F5F25"/>
    <w:rsid w:val="007F60E8"/>
    <w:rsid w:val="007F6A82"/>
    <w:rsid w:val="007F708D"/>
    <w:rsid w:val="007F70E7"/>
    <w:rsid w:val="007F74C8"/>
    <w:rsid w:val="0080050D"/>
    <w:rsid w:val="00800A30"/>
    <w:rsid w:val="00802120"/>
    <w:rsid w:val="0080475D"/>
    <w:rsid w:val="0080485E"/>
    <w:rsid w:val="008056BE"/>
    <w:rsid w:val="0080591B"/>
    <w:rsid w:val="0080634B"/>
    <w:rsid w:val="00807EB4"/>
    <w:rsid w:val="008104FD"/>
    <w:rsid w:val="008105A9"/>
    <w:rsid w:val="0081189C"/>
    <w:rsid w:val="008120A7"/>
    <w:rsid w:val="00813BEA"/>
    <w:rsid w:val="008140A3"/>
    <w:rsid w:val="00814B01"/>
    <w:rsid w:val="008151DB"/>
    <w:rsid w:val="00815B80"/>
    <w:rsid w:val="00816D5C"/>
    <w:rsid w:val="0081704F"/>
    <w:rsid w:val="0081722F"/>
    <w:rsid w:val="00817AB1"/>
    <w:rsid w:val="008200EB"/>
    <w:rsid w:val="00820CBA"/>
    <w:rsid w:val="00821933"/>
    <w:rsid w:val="008219E8"/>
    <w:rsid w:val="00822521"/>
    <w:rsid w:val="00823B2D"/>
    <w:rsid w:val="00824D60"/>
    <w:rsid w:val="00826399"/>
    <w:rsid w:val="0082757C"/>
    <w:rsid w:val="008309A0"/>
    <w:rsid w:val="00830EE4"/>
    <w:rsid w:val="00833268"/>
    <w:rsid w:val="00834368"/>
    <w:rsid w:val="0083478C"/>
    <w:rsid w:val="008347EF"/>
    <w:rsid w:val="00834F7F"/>
    <w:rsid w:val="00835582"/>
    <w:rsid w:val="00836971"/>
    <w:rsid w:val="008369FB"/>
    <w:rsid w:val="00836D81"/>
    <w:rsid w:val="00836ED1"/>
    <w:rsid w:val="008378B0"/>
    <w:rsid w:val="0083796D"/>
    <w:rsid w:val="00837C5F"/>
    <w:rsid w:val="00837D13"/>
    <w:rsid w:val="00837F7D"/>
    <w:rsid w:val="00841785"/>
    <w:rsid w:val="00841B57"/>
    <w:rsid w:val="00843E0A"/>
    <w:rsid w:val="00843EAD"/>
    <w:rsid w:val="00844A6C"/>
    <w:rsid w:val="00844CC5"/>
    <w:rsid w:val="00845CD1"/>
    <w:rsid w:val="0084686D"/>
    <w:rsid w:val="008471B9"/>
    <w:rsid w:val="00851800"/>
    <w:rsid w:val="00852599"/>
    <w:rsid w:val="008525C9"/>
    <w:rsid w:val="0085278A"/>
    <w:rsid w:val="00853237"/>
    <w:rsid w:val="00853D62"/>
    <w:rsid w:val="00854AEF"/>
    <w:rsid w:val="00854C47"/>
    <w:rsid w:val="008554E6"/>
    <w:rsid w:val="008563C1"/>
    <w:rsid w:val="00856AE7"/>
    <w:rsid w:val="00856BEE"/>
    <w:rsid w:val="00857621"/>
    <w:rsid w:val="008576BF"/>
    <w:rsid w:val="0086094C"/>
    <w:rsid w:val="00860A6C"/>
    <w:rsid w:val="0086124B"/>
    <w:rsid w:val="00861F48"/>
    <w:rsid w:val="008625BF"/>
    <w:rsid w:val="00862904"/>
    <w:rsid w:val="008632FE"/>
    <w:rsid w:val="008644F2"/>
    <w:rsid w:val="00864C75"/>
    <w:rsid w:val="00864E99"/>
    <w:rsid w:val="008674FB"/>
    <w:rsid w:val="00870322"/>
    <w:rsid w:val="00870BF4"/>
    <w:rsid w:val="00870F2B"/>
    <w:rsid w:val="00872371"/>
    <w:rsid w:val="00872906"/>
    <w:rsid w:val="00872ECC"/>
    <w:rsid w:val="00873962"/>
    <w:rsid w:val="00873ED9"/>
    <w:rsid w:val="00874638"/>
    <w:rsid w:val="008756FE"/>
    <w:rsid w:val="008758CE"/>
    <w:rsid w:val="00876FD4"/>
    <w:rsid w:val="00877188"/>
    <w:rsid w:val="008813AD"/>
    <w:rsid w:val="0088183E"/>
    <w:rsid w:val="00881CD4"/>
    <w:rsid w:val="00881F50"/>
    <w:rsid w:val="00883A0B"/>
    <w:rsid w:val="00886738"/>
    <w:rsid w:val="008906A9"/>
    <w:rsid w:val="00890D2A"/>
    <w:rsid w:val="0089142B"/>
    <w:rsid w:val="008924D2"/>
    <w:rsid w:val="008928DF"/>
    <w:rsid w:val="0089317C"/>
    <w:rsid w:val="00896C06"/>
    <w:rsid w:val="008A0279"/>
    <w:rsid w:val="008A0B14"/>
    <w:rsid w:val="008A1C64"/>
    <w:rsid w:val="008A3127"/>
    <w:rsid w:val="008A371D"/>
    <w:rsid w:val="008A39B8"/>
    <w:rsid w:val="008A3FA0"/>
    <w:rsid w:val="008A41C1"/>
    <w:rsid w:val="008A61F9"/>
    <w:rsid w:val="008A67E5"/>
    <w:rsid w:val="008B0829"/>
    <w:rsid w:val="008B0F84"/>
    <w:rsid w:val="008B0FA2"/>
    <w:rsid w:val="008B0FFE"/>
    <w:rsid w:val="008B108C"/>
    <w:rsid w:val="008B38A2"/>
    <w:rsid w:val="008B45C8"/>
    <w:rsid w:val="008B4F5E"/>
    <w:rsid w:val="008B543F"/>
    <w:rsid w:val="008B57B6"/>
    <w:rsid w:val="008B617A"/>
    <w:rsid w:val="008C034B"/>
    <w:rsid w:val="008C1CDE"/>
    <w:rsid w:val="008C2C48"/>
    <w:rsid w:val="008C32F0"/>
    <w:rsid w:val="008C52D5"/>
    <w:rsid w:val="008C534D"/>
    <w:rsid w:val="008C5AF4"/>
    <w:rsid w:val="008C66CA"/>
    <w:rsid w:val="008C6B71"/>
    <w:rsid w:val="008C742A"/>
    <w:rsid w:val="008C77C1"/>
    <w:rsid w:val="008C7C8E"/>
    <w:rsid w:val="008D02E6"/>
    <w:rsid w:val="008D0639"/>
    <w:rsid w:val="008D0A5C"/>
    <w:rsid w:val="008D1B55"/>
    <w:rsid w:val="008D1C6C"/>
    <w:rsid w:val="008D2BC6"/>
    <w:rsid w:val="008D2F90"/>
    <w:rsid w:val="008D3089"/>
    <w:rsid w:val="008D3FAF"/>
    <w:rsid w:val="008D5F94"/>
    <w:rsid w:val="008E030A"/>
    <w:rsid w:val="008E10B7"/>
    <w:rsid w:val="008E12B4"/>
    <w:rsid w:val="008E1BA7"/>
    <w:rsid w:val="008E33DE"/>
    <w:rsid w:val="008E3755"/>
    <w:rsid w:val="008E7D9A"/>
    <w:rsid w:val="008F11CF"/>
    <w:rsid w:val="008F1647"/>
    <w:rsid w:val="008F1C20"/>
    <w:rsid w:val="008F227B"/>
    <w:rsid w:val="008F2AE2"/>
    <w:rsid w:val="008F2DB7"/>
    <w:rsid w:val="008F3C73"/>
    <w:rsid w:val="008F415D"/>
    <w:rsid w:val="008F4C34"/>
    <w:rsid w:val="008F4D8A"/>
    <w:rsid w:val="008F50AA"/>
    <w:rsid w:val="008F70A7"/>
    <w:rsid w:val="008F7760"/>
    <w:rsid w:val="009010DC"/>
    <w:rsid w:val="0090292C"/>
    <w:rsid w:val="00903164"/>
    <w:rsid w:val="009044F1"/>
    <w:rsid w:val="00904F0C"/>
    <w:rsid w:val="009066F2"/>
    <w:rsid w:val="00907885"/>
    <w:rsid w:val="00907930"/>
    <w:rsid w:val="00907E52"/>
    <w:rsid w:val="00910F62"/>
    <w:rsid w:val="0091100C"/>
    <w:rsid w:val="00911739"/>
    <w:rsid w:val="009158AA"/>
    <w:rsid w:val="009167A0"/>
    <w:rsid w:val="00917C1D"/>
    <w:rsid w:val="009229E1"/>
    <w:rsid w:val="00922F88"/>
    <w:rsid w:val="00923A80"/>
    <w:rsid w:val="00924914"/>
    <w:rsid w:val="00925045"/>
    <w:rsid w:val="00925349"/>
    <w:rsid w:val="009263D5"/>
    <w:rsid w:val="0092649B"/>
    <w:rsid w:val="00926512"/>
    <w:rsid w:val="00931693"/>
    <w:rsid w:val="009318A4"/>
    <w:rsid w:val="00931EA5"/>
    <w:rsid w:val="00932086"/>
    <w:rsid w:val="00932413"/>
    <w:rsid w:val="00933816"/>
    <w:rsid w:val="00934B31"/>
    <w:rsid w:val="009358FB"/>
    <w:rsid w:val="00935C9D"/>
    <w:rsid w:val="00935F28"/>
    <w:rsid w:val="00935FDF"/>
    <w:rsid w:val="00937286"/>
    <w:rsid w:val="00937AD5"/>
    <w:rsid w:val="00940207"/>
    <w:rsid w:val="00943AFB"/>
    <w:rsid w:val="00943F57"/>
    <w:rsid w:val="00944436"/>
    <w:rsid w:val="009446BF"/>
    <w:rsid w:val="00945426"/>
    <w:rsid w:val="009463B0"/>
    <w:rsid w:val="00946877"/>
    <w:rsid w:val="0094701E"/>
    <w:rsid w:val="00947714"/>
    <w:rsid w:val="00947BC6"/>
    <w:rsid w:val="00947D60"/>
    <w:rsid w:val="009526D8"/>
    <w:rsid w:val="0095326B"/>
    <w:rsid w:val="0095493D"/>
    <w:rsid w:val="00957217"/>
    <w:rsid w:val="009606B7"/>
    <w:rsid w:val="0096105E"/>
    <w:rsid w:val="009631E6"/>
    <w:rsid w:val="00965763"/>
    <w:rsid w:val="00965E38"/>
    <w:rsid w:val="0096610A"/>
    <w:rsid w:val="00967ACB"/>
    <w:rsid w:val="0097053B"/>
    <w:rsid w:val="00970707"/>
    <w:rsid w:val="0097259E"/>
    <w:rsid w:val="00972836"/>
    <w:rsid w:val="00974450"/>
    <w:rsid w:val="009754A4"/>
    <w:rsid w:val="00977E55"/>
    <w:rsid w:val="009803DD"/>
    <w:rsid w:val="009804FF"/>
    <w:rsid w:val="009807A0"/>
    <w:rsid w:val="009810F3"/>
    <w:rsid w:val="009841E9"/>
    <w:rsid w:val="009851C9"/>
    <w:rsid w:val="00985855"/>
    <w:rsid w:val="00985F63"/>
    <w:rsid w:val="00987E20"/>
    <w:rsid w:val="00987F45"/>
    <w:rsid w:val="009910B4"/>
    <w:rsid w:val="00991DB1"/>
    <w:rsid w:val="00991F53"/>
    <w:rsid w:val="00993FB4"/>
    <w:rsid w:val="009940D7"/>
    <w:rsid w:val="0099459F"/>
    <w:rsid w:val="009959E3"/>
    <w:rsid w:val="00995CA6"/>
    <w:rsid w:val="00996C69"/>
    <w:rsid w:val="009A0D9A"/>
    <w:rsid w:val="009A1209"/>
    <w:rsid w:val="009A1573"/>
    <w:rsid w:val="009A1720"/>
    <w:rsid w:val="009A19BA"/>
    <w:rsid w:val="009A22A4"/>
    <w:rsid w:val="009A2E73"/>
    <w:rsid w:val="009A3881"/>
    <w:rsid w:val="009A3B65"/>
    <w:rsid w:val="009A5059"/>
    <w:rsid w:val="009A6518"/>
    <w:rsid w:val="009A6617"/>
    <w:rsid w:val="009B0492"/>
    <w:rsid w:val="009B07B9"/>
    <w:rsid w:val="009B1667"/>
    <w:rsid w:val="009B2633"/>
    <w:rsid w:val="009B2B0E"/>
    <w:rsid w:val="009B31BC"/>
    <w:rsid w:val="009B684F"/>
    <w:rsid w:val="009B7B54"/>
    <w:rsid w:val="009C0771"/>
    <w:rsid w:val="009C1BBA"/>
    <w:rsid w:val="009C246B"/>
    <w:rsid w:val="009C49E4"/>
    <w:rsid w:val="009C4E1B"/>
    <w:rsid w:val="009C51DD"/>
    <w:rsid w:val="009C5900"/>
    <w:rsid w:val="009C5C9E"/>
    <w:rsid w:val="009C5D40"/>
    <w:rsid w:val="009C6B1A"/>
    <w:rsid w:val="009C732E"/>
    <w:rsid w:val="009C74B4"/>
    <w:rsid w:val="009C7A9B"/>
    <w:rsid w:val="009D03D5"/>
    <w:rsid w:val="009D08A3"/>
    <w:rsid w:val="009D098F"/>
    <w:rsid w:val="009D0B3F"/>
    <w:rsid w:val="009D6C0C"/>
    <w:rsid w:val="009D7B5A"/>
    <w:rsid w:val="009E0485"/>
    <w:rsid w:val="009E1E7D"/>
    <w:rsid w:val="009E3A7D"/>
    <w:rsid w:val="009E5BB8"/>
    <w:rsid w:val="009E7736"/>
    <w:rsid w:val="009E7F05"/>
    <w:rsid w:val="009F0821"/>
    <w:rsid w:val="009F0A7B"/>
    <w:rsid w:val="009F149C"/>
    <w:rsid w:val="009F2892"/>
    <w:rsid w:val="009F29C7"/>
    <w:rsid w:val="009F3713"/>
    <w:rsid w:val="009F3FF2"/>
    <w:rsid w:val="009F6A59"/>
    <w:rsid w:val="009F730B"/>
    <w:rsid w:val="009F7FCF"/>
    <w:rsid w:val="00A00D9F"/>
    <w:rsid w:val="00A01804"/>
    <w:rsid w:val="00A01B51"/>
    <w:rsid w:val="00A01FCB"/>
    <w:rsid w:val="00A02702"/>
    <w:rsid w:val="00A02A3A"/>
    <w:rsid w:val="00A03BA7"/>
    <w:rsid w:val="00A05B7C"/>
    <w:rsid w:val="00A0684D"/>
    <w:rsid w:val="00A10323"/>
    <w:rsid w:val="00A139F0"/>
    <w:rsid w:val="00A13CF3"/>
    <w:rsid w:val="00A14522"/>
    <w:rsid w:val="00A15022"/>
    <w:rsid w:val="00A159AD"/>
    <w:rsid w:val="00A15CDF"/>
    <w:rsid w:val="00A1640F"/>
    <w:rsid w:val="00A173CD"/>
    <w:rsid w:val="00A2050C"/>
    <w:rsid w:val="00A22943"/>
    <w:rsid w:val="00A22971"/>
    <w:rsid w:val="00A24A81"/>
    <w:rsid w:val="00A24E42"/>
    <w:rsid w:val="00A25E36"/>
    <w:rsid w:val="00A2622E"/>
    <w:rsid w:val="00A265FC"/>
    <w:rsid w:val="00A267DA"/>
    <w:rsid w:val="00A278F5"/>
    <w:rsid w:val="00A30CCA"/>
    <w:rsid w:val="00A30FB3"/>
    <w:rsid w:val="00A311B6"/>
    <w:rsid w:val="00A3127C"/>
    <w:rsid w:val="00A312FB"/>
    <w:rsid w:val="00A31308"/>
    <w:rsid w:val="00A31926"/>
    <w:rsid w:val="00A32640"/>
    <w:rsid w:val="00A32C17"/>
    <w:rsid w:val="00A32F28"/>
    <w:rsid w:val="00A3380A"/>
    <w:rsid w:val="00A339BF"/>
    <w:rsid w:val="00A34062"/>
    <w:rsid w:val="00A35E68"/>
    <w:rsid w:val="00A36DED"/>
    <w:rsid w:val="00A376F5"/>
    <w:rsid w:val="00A4001C"/>
    <w:rsid w:val="00A4285F"/>
    <w:rsid w:val="00A432B9"/>
    <w:rsid w:val="00A456F8"/>
    <w:rsid w:val="00A46C02"/>
    <w:rsid w:val="00A47CF8"/>
    <w:rsid w:val="00A50099"/>
    <w:rsid w:val="00A5031F"/>
    <w:rsid w:val="00A503A5"/>
    <w:rsid w:val="00A505AC"/>
    <w:rsid w:val="00A512C4"/>
    <w:rsid w:val="00A53EBB"/>
    <w:rsid w:val="00A551D1"/>
    <w:rsid w:val="00A56345"/>
    <w:rsid w:val="00A566AF"/>
    <w:rsid w:val="00A578E9"/>
    <w:rsid w:val="00A6000D"/>
    <w:rsid w:val="00A6070C"/>
    <w:rsid w:val="00A612A3"/>
    <w:rsid w:val="00A619EB"/>
    <w:rsid w:val="00A620AA"/>
    <w:rsid w:val="00A62F64"/>
    <w:rsid w:val="00A632D9"/>
    <w:rsid w:val="00A633A1"/>
    <w:rsid w:val="00A63E18"/>
    <w:rsid w:val="00A6424E"/>
    <w:rsid w:val="00A65746"/>
    <w:rsid w:val="00A6643C"/>
    <w:rsid w:val="00A66C13"/>
    <w:rsid w:val="00A66F66"/>
    <w:rsid w:val="00A7016D"/>
    <w:rsid w:val="00A7146D"/>
    <w:rsid w:val="00A71B31"/>
    <w:rsid w:val="00A71FA3"/>
    <w:rsid w:val="00A72508"/>
    <w:rsid w:val="00A7313F"/>
    <w:rsid w:val="00A73C45"/>
    <w:rsid w:val="00A75C6E"/>
    <w:rsid w:val="00A76BB0"/>
    <w:rsid w:val="00A77478"/>
    <w:rsid w:val="00A835C8"/>
    <w:rsid w:val="00A8453A"/>
    <w:rsid w:val="00A859DE"/>
    <w:rsid w:val="00A85EC3"/>
    <w:rsid w:val="00A86DC6"/>
    <w:rsid w:val="00A87471"/>
    <w:rsid w:val="00A874B2"/>
    <w:rsid w:val="00A909AF"/>
    <w:rsid w:val="00A930C2"/>
    <w:rsid w:val="00A94E08"/>
    <w:rsid w:val="00A95C85"/>
    <w:rsid w:val="00A96259"/>
    <w:rsid w:val="00A962A9"/>
    <w:rsid w:val="00A9630A"/>
    <w:rsid w:val="00A9647A"/>
    <w:rsid w:val="00AA0637"/>
    <w:rsid w:val="00AA0E96"/>
    <w:rsid w:val="00AA20A4"/>
    <w:rsid w:val="00AA3130"/>
    <w:rsid w:val="00AA3C22"/>
    <w:rsid w:val="00AA3F65"/>
    <w:rsid w:val="00AA453E"/>
    <w:rsid w:val="00AA4DD2"/>
    <w:rsid w:val="00AA52AB"/>
    <w:rsid w:val="00AA6F25"/>
    <w:rsid w:val="00AB074E"/>
    <w:rsid w:val="00AB298B"/>
    <w:rsid w:val="00AB36F2"/>
    <w:rsid w:val="00AB4357"/>
    <w:rsid w:val="00AB5D4A"/>
    <w:rsid w:val="00AB6EF0"/>
    <w:rsid w:val="00AB76F1"/>
    <w:rsid w:val="00AB7959"/>
    <w:rsid w:val="00AB7B13"/>
    <w:rsid w:val="00AB7C58"/>
    <w:rsid w:val="00AC1075"/>
    <w:rsid w:val="00AC1171"/>
    <w:rsid w:val="00AC18A5"/>
    <w:rsid w:val="00AC1E7A"/>
    <w:rsid w:val="00AC2011"/>
    <w:rsid w:val="00AC2E25"/>
    <w:rsid w:val="00AC3516"/>
    <w:rsid w:val="00AC5CE1"/>
    <w:rsid w:val="00AC5E29"/>
    <w:rsid w:val="00AC63BF"/>
    <w:rsid w:val="00AC68E6"/>
    <w:rsid w:val="00AC6B2F"/>
    <w:rsid w:val="00AC6DC4"/>
    <w:rsid w:val="00AC70B9"/>
    <w:rsid w:val="00AC7F62"/>
    <w:rsid w:val="00AD0122"/>
    <w:rsid w:val="00AD1D9E"/>
    <w:rsid w:val="00AD1F01"/>
    <w:rsid w:val="00AD27AC"/>
    <w:rsid w:val="00AD4518"/>
    <w:rsid w:val="00AD5D92"/>
    <w:rsid w:val="00AD6A34"/>
    <w:rsid w:val="00AE0D13"/>
    <w:rsid w:val="00AE1791"/>
    <w:rsid w:val="00AE1929"/>
    <w:rsid w:val="00AE6090"/>
    <w:rsid w:val="00AE63C2"/>
    <w:rsid w:val="00AE6E9A"/>
    <w:rsid w:val="00AE7209"/>
    <w:rsid w:val="00AE72EC"/>
    <w:rsid w:val="00AE7611"/>
    <w:rsid w:val="00AE7BAF"/>
    <w:rsid w:val="00AF047A"/>
    <w:rsid w:val="00AF1AD9"/>
    <w:rsid w:val="00AF1FCD"/>
    <w:rsid w:val="00AF35CD"/>
    <w:rsid w:val="00AF38E1"/>
    <w:rsid w:val="00AF41E7"/>
    <w:rsid w:val="00AF4662"/>
    <w:rsid w:val="00AF4D2E"/>
    <w:rsid w:val="00AF71E1"/>
    <w:rsid w:val="00B00117"/>
    <w:rsid w:val="00B00254"/>
    <w:rsid w:val="00B0110E"/>
    <w:rsid w:val="00B01190"/>
    <w:rsid w:val="00B01DC6"/>
    <w:rsid w:val="00B02249"/>
    <w:rsid w:val="00B033B0"/>
    <w:rsid w:val="00B0353E"/>
    <w:rsid w:val="00B03945"/>
    <w:rsid w:val="00B0483D"/>
    <w:rsid w:val="00B05AE6"/>
    <w:rsid w:val="00B07E23"/>
    <w:rsid w:val="00B1037E"/>
    <w:rsid w:val="00B117AF"/>
    <w:rsid w:val="00B117E6"/>
    <w:rsid w:val="00B1421C"/>
    <w:rsid w:val="00B14C2D"/>
    <w:rsid w:val="00B153C1"/>
    <w:rsid w:val="00B164FD"/>
    <w:rsid w:val="00B17F49"/>
    <w:rsid w:val="00B224F6"/>
    <w:rsid w:val="00B225B9"/>
    <w:rsid w:val="00B2604C"/>
    <w:rsid w:val="00B27728"/>
    <w:rsid w:val="00B27CB0"/>
    <w:rsid w:val="00B31F89"/>
    <w:rsid w:val="00B320C1"/>
    <w:rsid w:val="00B324DF"/>
    <w:rsid w:val="00B32952"/>
    <w:rsid w:val="00B3694A"/>
    <w:rsid w:val="00B36A2D"/>
    <w:rsid w:val="00B37390"/>
    <w:rsid w:val="00B42AFC"/>
    <w:rsid w:val="00B42B8D"/>
    <w:rsid w:val="00B42EB0"/>
    <w:rsid w:val="00B44332"/>
    <w:rsid w:val="00B444AF"/>
    <w:rsid w:val="00B452B9"/>
    <w:rsid w:val="00B45F41"/>
    <w:rsid w:val="00B46366"/>
    <w:rsid w:val="00B469EE"/>
    <w:rsid w:val="00B46ADC"/>
    <w:rsid w:val="00B46FE9"/>
    <w:rsid w:val="00B472A4"/>
    <w:rsid w:val="00B4776D"/>
    <w:rsid w:val="00B502C0"/>
    <w:rsid w:val="00B504E7"/>
    <w:rsid w:val="00B514C5"/>
    <w:rsid w:val="00B51712"/>
    <w:rsid w:val="00B519FC"/>
    <w:rsid w:val="00B54646"/>
    <w:rsid w:val="00B54D0A"/>
    <w:rsid w:val="00B55821"/>
    <w:rsid w:val="00B55EDE"/>
    <w:rsid w:val="00B57C29"/>
    <w:rsid w:val="00B60AA9"/>
    <w:rsid w:val="00B613EB"/>
    <w:rsid w:val="00B61B34"/>
    <w:rsid w:val="00B632A7"/>
    <w:rsid w:val="00B63E64"/>
    <w:rsid w:val="00B64286"/>
    <w:rsid w:val="00B653BA"/>
    <w:rsid w:val="00B65F99"/>
    <w:rsid w:val="00B66323"/>
    <w:rsid w:val="00B73A6C"/>
    <w:rsid w:val="00B74367"/>
    <w:rsid w:val="00B76822"/>
    <w:rsid w:val="00B8383D"/>
    <w:rsid w:val="00B84B33"/>
    <w:rsid w:val="00B84D43"/>
    <w:rsid w:val="00B85B93"/>
    <w:rsid w:val="00B86849"/>
    <w:rsid w:val="00B87580"/>
    <w:rsid w:val="00B90660"/>
    <w:rsid w:val="00B90796"/>
    <w:rsid w:val="00B9187D"/>
    <w:rsid w:val="00B920FE"/>
    <w:rsid w:val="00B921E6"/>
    <w:rsid w:val="00B92C9C"/>
    <w:rsid w:val="00B92E14"/>
    <w:rsid w:val="00B930BF"/>
    <w:rsid w:val="00B94B0F"/>
    <w:rsid w:val="00B96433"/>
    <w:rsid w:val="00B96595"/>
    <w:rsid w:val="00B970F9"/>
    <w:rsid w:val="00B979CC"/>
    <w:rsid w:val="00B97A24"/>
    <w:rsid w:val="00BA01D9"/>
    <w:rsid w:val="00BA06DD"/>
    <w:rsid w:val="00BA09CC"/>
    <w:rsid w:val="00BA0B09"/>
    <w:rsid w:val="00BA14D4"/>
    <w:rsid w:val="00BA1642"/>
    <w:rsid w:val="00BA2B53"/>
    <w:rsid w:val="00BA37BA"/>
    <w:rsid w:val="00BA3DA7"/>
    <w:rsid w:val="00BA43D0"/>
    <w:rsid w:val="00BA4AA8"/>
    <w:rsid w:val="00BA5A85"/>
    <w:rsid w:val="00BA6780"/>
    <w:rsid w:val="00BA6FF3"/>
    <w:rsid w:val="00BB0468"/>
    <w:rsid w:val="00BB17E4"/>
    <w:rsid w:val="00BB1EB2"/>
    <w:rsid w:val="00BB22C3"/>
    <w:rsid w:val="00BB28E7"/>
    <w:rsid w:val="00BB2F72"/>
    <w:rsid w:val="00BB3035"/>
    <w:rsid w:val="00BB4699"/>
    <w:rsid w:val="00BB5151"/>
    <w:rsid w:val="00BB547E"/>
    <w:rsid w:val="00BB7AA2"/>
    <w:rsid w:val="00BC026A"/>
    <w:rsid w:val="00BC0A8C"/>
    <w:rsid w:val="00BC17A1"/>
    <w:rsid w:val="00BC4412"/>
    <w:rsid w:val="00BC6C1E"/>
    <w:rsid w:val="00BC78E8"/>
    <w:rsid w:val="00BD1C58"/>
    <w:rsid w:val="00BD3470"/>
    <w:rsid w:val="00BD3521"/>
    <w:rsid w:val="00BD4CA0"/>
    <w:rsid w:val="00BD4F8A"/>
    <w:rsid w:val="00BD5542"/>
    <w:rsid w:val="00BD554C"/>
    <w:rsid w:val="00BD585A"/>
    <w:rsid w:val="00BD7F4D"/>
    <w:rsid w:val="00BD7F61"/>
    <w:rsid w:val="00BE0271"/>
    <w:rsid w:val="00BE1974"/>
    <w:rsid w:val="00BE31E8"/>
    <w:rsid w:val="00BE3A38"/>
    <w:rsid w:val="00BE49A4"/>
    <w:rsid w:val="00BE4C0C"/>
    <w:rsid w:val="00BE52CA"/>
    <w:rsid w:val="00BE6086"/>
    <w:rsid w:val="00BE6AA8"/>
    <w:rsid w:val="00BF24AB"/>
    <w:rsid w:val="00C00689"/>
    <w:rsid w:val="00C00A39"/>
    <w:rsid w:val="00C01611"/>
    <w:rsid w:val="00C01791"/>
    <w:rsid w:val="00C02FF2"/>
    <w:rsid w:val="00C03438"/>
    <w:rsid w:val="00C0488B"/>
    <w:rsid w:val="00C07EFD"/>
    <w:rsid w:val="00C1155B"/>
    <w:rsid w:val="00C11FAF"/>
    <w:rsid w:val="00C1222F"/>
    <w:rsid w:val="00C13192"/>
    <w:rsid w:val="00C13C61"/>
    <w:rsid w:val="00C15479"/>
    <w:rsid w:val="00C158B1"/>
    <w:rsid w:val="00C161BE"/>
    <w:rsid w:val="00C164CA"/>
    <w:rsid w:val="00C16844"/>
    <w:rsid w:val="00C220B2"/>
    <w:rsid w:val="00C231A1"/>
    <w:rsid w:val="00C23D62"/>
    <w:rsid w:val="00C24025"/>
    <w:rsid w:val="00C24609"/>
    <w:rsid w:val="00C253D1"/>
    <w:rsid w:val="00C26185"/>
    <w:rsid w:val="00C2799E"/>
    <w:rsid w:val="00C3038C"/>
    <w:rsid w:val="00C30453"/>
    <w:rsid w:val="00C30830"/>
    <w:rsid w:val="00C31525"/>
    <w:rsid w:val="00C3165E"/>
    <w:rsid w:val="00C31850"/>
    <w:rsid w:val="00C3203E"/>
    <w:rsid w:val="00C3245C"/>
    <w:rsid w:val="00C32A8B"/>
    <w:rsid w:val="00C33501"/>
    <w:rsid w:val="00C34BF3"/>
    <w:rsid w:val="00C35DAE"/>
    <w:rsid w:val="00C35F80"/>
    <w:rsid w:val="00C35F99"/>
    <w:rsid w:val="00C37389"/>
    <w:rsid w:val="00C40407"/>
    <w:rsid w:val="00C41DD2"/>
    <w:rsid w:val="00C4272E"/>
    <w:rsid w:val="00C436AF"/>
    <w:rsid w:val="00C444A2"/>
    <w:rsid w:val="00C46FDF"/>
    <w:rsid w:val="00C4731D"/>
    <w:rsid w:val="00C50218"/>
    <w:rsid w:val="00C50BC6"/>
    <w:rsid w:val="00C50D11"/>
    <w:rsid w:val="00C55676"/>
    <w:rsid w:val="00C55ED7"/>
    <w:rsid w:val="00C566F1"/>
    <w:rsid w:val="00C571B8"/>
    <w:rsid w:val="00C6177C"/>
    <w:rsid w:val="00C61ABA"/>
    <w:rsid w:val="00C623B2"/>
    <w:rsid w:val="00C62D86"/>
    <w:rsid w:val="00C63D5E"/>
    <w:rsid w:val="00C63F43"/>
    <w:rsid w:val="00C64D5B"/>
    <w:rsid w:val="00C6531B"/>
    <w:rsid w:val="00C65F2E"/>
    <w:rsid w:val="00C66238"/>
    <w:rsid w:val="00C67391"/>
    <w:rsid w:val="00C7267A"/>
    <w:rsid w:val="00C72DB7"/>
    <w:rsid w:val="00C7377D"/>
    <w:rsid w:val="00C73D2A"/>
    <w:rsid w:val="00C7561D"/>
    <w:rsid w:val="00C76021"/>
    <w:rsid w:val="00C800F4"/>
    <w:rsid w:val="00C805DF"/>
    <w:rsid w:val="00C815CF"/>
    <w:rsid w:val="00C81885"/>
    <w:rsid w:val="00C81DA6"/>
    <w:rsid w:val="00C82A34"/>
    <w:rsid w:val="00C8321E"/>
    <w:rsid w:val="00C83246"/>
    <w:rsid w:val="00C8434B"/>
    <w:rsid w:val="00C8468A"/>
    <w:rsid w:val="00C84AB7"/>
    <w:rsid w:val="00C86304"/>
    <w:rsid w:val="00C8694A"/>
    <w:rsid w:val="00C8746A"/>
    <w:rsid w:val="00C9147A"/>
    <w:rsid w:val="00C91484"/>
    <w:rsid w:val="00C93CE4"/>
    <w:rsid w:val="00C94909"/>
    <w:rsid w:val="00C96C6A"/>
    <w:rsid w:val="00C973D2"/>
    <w:rsid w:val="00C9764F"/>
    <w:rsid w:val="00CA0011"/>
    <w:rsid w:val="00CA24E5"/>
    <w:rsid w:val="00CA324D"/>
    <w:rsid w:val="00CA47C1"/>
    <w:rsid w:val="00CA4B68"/>
    <w:rsid w:val="00CA77D2"/>
    <w:rsid w:val="00CA7CCE"/>
    <w:rsid w:val="00CA7D3E"/>
    <w:rsid w:val="00CB03ED"/>
    <w:rsid w:val="00CB04D3"/>
    <w:rsid w:val="00CB0AE9"/>
    <w:rsid w:val="00CB126C"/>
    <w:rsid w:val="00CB564E"/>
    <w:rsid w:val="00CB7659"/>
    <w:rsid w:val="00CB7A4F"/>
    <w:rsid w:val="00CB7ACE"/>
    <w:rsid w:val="00CB7E5B"/>
    <w:rsid w:val="00CC0260"/>
    <w:rsid w:val="00CC06C8"/>
    <w:rsid w:val="00CC1C64"/>
    <w:rsid w:val="00CC3A63"/>
    <w:rsid w:val="00CC3F44"/>
    <w:rsid w:val="00CC5332"/>
    <w:rsid w:val="00CC63C0"/>
    <w:rsid w:val="00CC7920"/>
    <w:rsid w:val="00CD0C9A"/>
    <w:rsid w:val="00CD47C2"/>
    <w:rsid w:val="00CD75ED"/>
    <w:rsid w:val="00CE0AFD"/>
    <w:rsid w:val="00CE1785"/>
    <w:rsid w:val="00CE1C5F"/>
    <w:rsid w:val="00CE253D"/>
    <w:rsid w:val="00CE38E0"/>
    <w:rsid w:val="00CE397F"/>
    <w:rsid w:val="00CE4D0A"/>
    <w:rsid w:val="00CE4DE2"/>
    <w:rsid w:val="00CE5D52"/>
    <w:rsid w:val="00CE7054"/>
    <w:rsid w:val="00CE7D51"/>
    <w:rsid w:val="00CF0B0F"/>
    <w:rsid w:val="00CF46BF"/>
    <w:rsid w:val="00CF4DCB"/>
    <w:rsid w:val="00CF5EC7"/>
    <w:rsid w:val="00CF5FAA"/>
    <w:rsid w:val="00CF618A"/>
    <w:rsid w:val="00CF67BD"/>
    <w:rsid w:val="00D00E51"/>
    <w:rsid w:val="00D011E7"/>
    <w:rsid w:val="00D0120E"/>
    <w:rsid w:val="00D02B4D"/>
    <w:rsid w:val="00D030A0"/>
    <w:rsid w:val="00D05C87"/>
    <w:rsid w:val="00D06512"/>
    <w:rsid w:val="00D07FC1"/>
    <w:rsid w:val="00D10CCB"/>
    <w:rsid w:val="00D1193F"/>
    <w:rsid w:val="00D12B89"/>
    <w:rsid w:val="00D13FBE"/>
    <w:rsid w:val="00D1450B"/>
    <w:rsid w:val="00D14C5A"/>
    <w:rsid w:val="00D17661"/>
    <w:rsid w:val="00D20A67"/>
    <w:rsid w:val="00D2455F"/>
    <w:rsid w:val="00D2569B"/>
    <w:rsid w:val="00D25972"/>
    <w:rsid w:val="00D259F0"/>
    <w:rsid w:val="00D25FE3"/>
    <w:rsid w:val="00D265F0"/>
    <w:rsid w:val="00D31CEC"/>
    <w:rsid w:val="00D326DF"/>
    <w:rsid w:val="00D3304C"/>
    <w:rsid w:val="00D330B7"/>
    <w:rsid w:val="00D35CE5"/>
    <w:rsid w:val="00D35DEB"/>
    <w:rsid w:val="00D36D66"/>
    <w:rsid w:val="00D37F44"/>
    <w:rsid w:val="00D40326"/>
    <w:rsid w:val="00D4050C"/>
    <w:rsid w:val="00D408A3"/>
    <w:rsid w:val="00D40E3D"/>
    <w:rsid w:val="00D42A3A"/>
    <w:rsid w:val="00D42B8E"/>
    <w:rsid w:val="00D4377D"/>
    <w:rsid w:val="00D43B59"/>
    <w:rsid w:val="00D44868"/>
    <w:rsid w:val="00D4555F"/>
    <w:rsid w:val="00D45E8F"/>
    <w:rsid w:val="00D4652A"/>
    <w:rsid w:val="00D4665C"/>
    <w:rsid w:val="00D46A4D"/>
    <w:rsid w:val="00D46C0A"/>
    <w:rsid w:val="00D47112"/>
    <w:rsid w:val="00D47E56"/>
    <w:rsid w:val="00D51651"/>
    <w:rsid w:val="00D5255A"/>
    <w:rsid w:val="00D5382C"/>
    <w:rsid w:val="00D53DB4"/>
    <w:rsid w:val="00D540A6"/>
    <w:rsid w:val="00D54F39"/>
    <w:rsid w:val="00D55962"/>
    <w:rsid w:val="00D567E5"/>
    <w:rsid w:val="00D5702E"/>
    <w:rsid w:val="00D6051C"/>
    <w:rsid w:val="00D60818"/>
    <w:rsid w:val="00D61804"/>
    <w:rsid w:val="00D64710"/>
    <w:rsid w:val="00D666AB"/>
    <w:rsid w:val="00D66DDE"/>
    <w:rsid w:val="00D6701D"/>
    <w:rsid w:val="00D67CB8"/>
    <w:rsid w:val="00D70638"/>
    <w:rsid w:val="00D71A75"/>
    <w:rsid w:val="00D71C66"/>
    <w:rsid w:val="00D735C0"/>
    <w:rsid w:val="00D73A0D"/>
    <w:rsid w:val="00D745D9"/>
    <w:rsid w:val="00D755C6"/>
    <w:rsid w:val="00D75B68"/>
    <w:rsid w:val="00D7665E"/>
    <w:rsid w:val="00D80120"/>
    <w:rsid w:val="00D81845"/>
    <w:rsid w:val="00D82684"/>
    <w:rsid w:val="00D83A36"/>
    <w:rsid w:val="00D84D61"/>
    <w:rsid w:val="00D84E7F"/>
    <w:rsid w:val="00D85996"/>
    <w:rsid w:val="00D86FFE"/>
    <w:rsid w:val="00D91872"/>
    <w:rsid w:val="00D924ED"/>
    <w:rsid w:val="00D9395F"/>
    <w:rsid w:val="00D941DA"/>
    <w:rsid w:val="00D948AD"/>
    <w:rsid w:val="00D963DF"/>
    <w:rsid w:val="00D96E2F"/>
    <w:rsid w:val="00D97713"/>
    <w:rsid w:val="00D977E9"/>
    <w:rsid w:val="00D97A56"/>
    <w:rsid w:val="00DA11BD"/>
    <w:rsid w:val="00DA2354"/>
    <w:rsid w:val="00DA290F"/>
    <w:rsid w:val="00DA3338"/>
    <w:rsid w:val="00DA37F3"/>
    <w:rsid w:val="00DA4806"/>
    <w:rsid w:val="00DB2B14"/>
    <w:rsid w:val="00DB397F"/>
    <w:rsid w:val="00DB498F"/>
    <w:rsid w:val="00DB4E84"/>
    <w:rsid w:val="00DB4EC2"/>
    <w:rsid w:val="00DB6964"/>
    <w:rsid w:val="00DB72C1"/>
    <w:rsid w:val="00DC031E"/>
    <w:rsid w:val="00DC05BB"/>
    <w:rsid w:val="00DC0BCB"/>
    <w:rsid w:val="00DC146F"/>
    <w:rsid w:val="00DC2BC7"/>
    <w:rsid w:val="00DC35FC"/>
    <w:rsid w:val="00DC4C17"/>
    <w:rsid w:val="00DC51CA"/>
    <w:rsid w:val="00DC7314"/>
    <w:rsid w:val="00DC7DDF"/>
    <w:rsid w:val="00DD1F8E"/>
    <w:rsid w:val="00DD2BF7"/>
    <w:rsid w:val="00DD2E03"/>
    <w:rsid w:val="00DD3255"/>
    <w:rsid w:val="00DD3714"/>
    <w:rsid w:val="00DD3E6D"/>
    <w:rsid w:val="00DD5EB1"/>
    <w:rsid w:val="00DD68C9"/>
    <w:rsid w:val="00DD6BD5"/>
    <w:rsid w:val="00DD6D03"/>
    <w:rsid w:val="00DD6F4E"/>
    <w:rsid w:val="00DD79EE"/>
    <w:rsid w:val="00DD7A69"/>
    <w:rsid w:val="00DE0468"/>
    <w:rsid w:val="00DE2985"/>
    <w:rsid w:val="00DE2D47"/>
    <w:rsid w:val="00DE3096"/>
    <w:rsid w:val="00DE3F18"/>
    <w:rsid w:val="00DE4ACF"/>
    <w:rsid w:val="00DE5FC7"/>
    <w:rsid w:val="00DE740C"/>
    <w:rsid w:val="00DE76A7"/>
    <w:rsid w:val="00DE7B33"/>
    <w:rsid w:val="00DF05DA"/>
    <w:rsid w:val="00DF0888"/>
    <w:rsid w:val="00DF14C7"/>
    <w:rsid w:val="00DF25C7"/>
    <w:rsid w:val="00DF3922"/>
    <w:rsid w:val="00DF412D"/>
    <w:rsid w:val="00DF4380"/>
    <w:rsid w:val="00DF4938"/>
    <w:rsid w:val="00DF4A98"/>
    <w:rsid w:val="00DF542E"/>
    <w:rsid w:val="00DF698B"/>
    <w:rsid w:val="00DF73A4"/>
    <w:rsid w:val="00E00F5F"/>
    <w:rsid w:val="00E01EED"/>
    <w:rsid w:val="00E033FD"/>
    <w:rsid w:val="00E050C9"/>
    <w:rsid w:val="00E058EA"/>
    <w:rsid w:val="00E071DD"/>
    <w:rsid w:val="00E07C7D"/>
    <w:rsid w:val="00E10DFA"/>
    <w:rsid w:val="00E11DDA"/>
    <w:rsid w:val="00E13B66"/>
    <w:rsid w:val="00E13BE8"/>
    <w:rsid w:val="00E13EA6"/>
    <w:rsid w:val="00E14E80"/>
    <w:rsid w:val="00E160E5"/>
    <w:rsid w:val="00E16C2A"/>
    <w:rsid w:val="00E16F31"/>
    <w:rsid w:val="00E17C74"/>
    <w:rsid w:val="00E2121D"/>
    <w:rsid w:val="00E21C25"/>
    <w:rsid w:val="00E2203F"/>
    <w:rsid w:val="00E22CA7"/>
    <w:rsid w:val="00E22D1B"/>
    <w:rsid w:val="00E23981"/>
    <w:rsid w:val="00E23D9B"/>
    <w:rsid w:val="00E25229"/>
    <w:rsid w:val="00E254E4"/>
    <w:rsid w:val="00E25A33"/>
    <w:rsid w:val="00E25AAA"/>
    <w:rsid w:val="00E26B08"/>
    <w:rsid w:val="00E27692"/>
    <w:rsid w:val="00E30233"/>
    <w:rsid w:val="00E314E6"/>
    <w:rsid w:val="00E32A2E"/>
    <w:rsid w:val="00E33ED3"/>
    <w:rsid w:val="00E349AD"/>
    <w:rsid w:val="00E35130"/>
    <w:rsid w:val="00E36651"/>
    <w:rsid w:val="00E36FF9"/>
    <w:rsid w:val="00E3761B"/>
    <w:rsid w:val="00E37737"/>
    <w:rsid w:val="00E379BF"/>
    <w:rsid w:val="00E408DE"/>
    <w:rsid w:val="00E41ED2"/>
    <w:rsid w:val="00E42811"/>
    <w:rsid w:val="00E43A7B"/>
    <w:rsid w:val="00E43CB6"/>
    <w:rsid w:val="00E44725"/>
    <w:rsid w:val="00E448EF"/>
    <w:rsid w:val="00E44DC1"/>
    <w:rsid w:val="00E45CF5"/>
    <w:rsid w:val="00E45D50"/>
    <w:rsid w:val="00E4768D"/>
    <w:rsid w:val="00E507E5"/>
    <w:rsid w:val="00E50F95"/>
    <w:rsid w:val="00E5144C"/>
    <w:rsid w:val="00E51857"/>
    <w:rsid w:val="00E52FC2"/>
    <w:rsid w:val="00E53504"/>
    <w:rsid w:val="00E54039"/>
    <w:rsid w:val="00E54D9D"/>
    <w:rsid w:val="00E55443"/>
    <w:rsid w:val="00E554F6"/>
    <w:rsid w:val="00E5771B"/>
    <w:rsid w:val="00E60877"/>
    <w:rsid w:val="00E6689A"/>
    <w:rsid w:val="00E70744"/>
    <w:rsid w:val="00E71770"/>
    <w:rsid w:val="00E72B71"/>
    <w:rsid w:val="00E73A71"/>
    <w:rsid w:val="00E750B6"/>
    <w:rsid w:val="00E75AC7"/>
    <w:rsid w:val="00E763A4"/>
    <w:rsid w:val="00E768F9"/>
    <w:rsid w:val="00E76D5F"/>
    <w:rsid w:val="00E80774"/>
    <w:rsid w:val="00E8297C"/>
    <w:rsid w:val="00E82C47"/>
    <w:rsid w:val="00E83D33"/>
    <w:rsid w:val="00E83D9E"/>
    <w:rsid w:val="00E8409D"/>
    <w:rsid w:val="00E847FD"/>
    <w:rsid w:val="00E856B7"/>
    <w:rsid w:val="00E86A24"/>
    <w:rsid w:val="00E86F62"/>
    <w:rsid w:val="00E9521C"/>
    <w:rsid w:val="00E9549C"/>
    <w:rsid w:val="00E95D90"/>
    <w:rsid w:val="00E96D84"/>
    <w:rsid w:val="00E974BE"/>
    <w:rsid w:val="00EA0215"/>
    <w:rsid w:val="00EA045C"/>
    <w:rsid w:val="00EA0F77"/>
    <w:rsid w:val="00EA117D"/>
    <w:rsid w:val="00EA198B"/>
    <w:rsid w:val="00EA2250"/>
    <w:rsid w:val="00EA4884"/>
    <w:rsid w:val="00EA52DA"/>
    <w:rsid w:val="00EA53E6"/>
    <w:rsid w:val="00EA74C7"/>
    <w:rsid w:val="00EA7FBF"/>
    <w:rsid w:val="00EB0B09"/>
    <w:rsid w:val="00EB2467"/>
    <w:rsid w:val="00EB28C3"/>
    <w:rsid w:val="00EB2A09"/>
    <w:rsid w:val="00EB2E46"/>
    <w:rsid w:val="00EB31DD"/>
    <w:rsid w:val="00EB6C0C"/>
    <w:rsid w:val="00EC09DF"/>
    <w:rsid w:val="00EC155B"/>
    <w:rsid w:val="00EC1676"/>
    <w:rsid w:val="00EC16F5"/>
    <w:rsid w:val="00EC180D"/>
    <w:rsid w:val="00EC1A31"/>
    <w:rsid w:val="00EC1E60"/>
    <w:rsid w:val="00EC2350"/>
    <w:rsid w:val="00EC23F9"/>
    <w:rsid w:val="00EC406E"/>
    <w:rsid w:val="00EC5459"/>
    <w:rsid w:val="00EC6471"/>
    <w:rsid w:val="00EC69C5"/>
    <w:rsid w:val="00EC7337"/>
    <w:rsid w:val="00ED13AE"/>
    <w:rsid w:val="00ED2ACB"/>
    <w:rsid w:val="00ED4CAA"/>
    <w:rsid w:val="00ED69C4"/>
    <w:rsid w:val="00EE380A"/>
    <w:rsid w:val="00EE5F3B"/>
    <w:rsid w:val="00EF0291"/>
    <w:rsid w:val="00EF0579"/>
    <w:rsid w:val="00EF0A86"/>
    <w:rsid w:val="00EF147C"/>
    <w:rsid w:val="00EF14FD"/>
    <w:rsid w:val="00EF1C6B"/>
    <w:rsid w:val="00EF28B4"/>
    <w:rsid w:val="00EF2ED5"/>
    <w:rsid w:val="00EF3D28"/>
    <w:rsid w:val="00EF4CE4"/>
    <w:rsid w:val="00EF5D34"/>
    <w:rsid w:val="00F012CE"/>
    <w:rsid w:val="00F01CAD"/>
    <w:rsid w:val="00F052DA"/>
    <w:rsid w:val="00F05EB1"/>
    <w:rsid w:val="00F0625E"/>
    <w:rsid w:val="00F069E0"/>
    <w:rsid w:val="00F07AC5"/>
    <w:rsid w:val="00F10AF4"/>
    <w:rsid w:val="00F1126E"/>
    <w:rsid w:val="00F121CE"/>
    <w:rsid w:val="00F12C81"/>
    <w:rsid w:val="00F12C9A"/>
    <w:rsid w:val="00F13304"/>
    <w:rsid w:val="00F15F6A"/>
    <w:rsid w:val="00F22399"/>
    <w:rsid w:val="00F22AAE"/>
    <w:rsid w:val="00F23C8C"/>
    <w:rsid w:val="00F24CD3"/>
    <w:rsid w:val="00F30702"/>
    <w:rsid w:val="00F30A64"/>
    <w:rsid w:val="00F3123D"/>
    <w:rsid w:val="00F33EB6"/>
    <w:rsid w:val="00F34EEF"/>
    <w:rsid w:val="00F35391"/>
    <w:rsid w:val="00F35AD6"/>
    <w:rsid w:val="00F36A3F"/>
    <w:rsid w:val="00F37B39"/>
    <w:rsid w:val="00F409DD"/>
    <w:rsid w:val="00F4142A"/>
    <w:rsid w:val="00F43463"/>
    <w:rsid w:val="00F4348E"/>
    <w:rsid w:val="00F43832"/>
    <w:rsid w:val="00F463A3"/>
    <w:rsid w:val="00F47A8C"/>
    <w:rsid w:val="00F47D33"/>
    <w:rsid w:val="00F505DD"/>
    <w:rsid w:val="00F50BB9"/>
    <w:rsid w:val="00F51067"/>
    <w:rsid w:val="00F512B3"/>
    <w:rsid w:val="00F527E9"/>
    <w:rsid w:val="00F53FF5"/>
    <w:rsid w:val="00F54B14"/>
    <w:rsid w:val="00F55F66"/>
    <w:rsid w:val="00F560C7"/>
    <w:rsid w:val="00F56F39"/>
    <w:rsid w:val="00F57AFA"/>
    <w:rsid w:val="00F57DBB"/>
    <w:rsid w:val="00F6031B"/>
    <w:rsid w:val="00F60E27"/>
    <w:rsid w:val="00F610F2"/>
    <w:rsid w:val="00F611DA"/>
    <w:rsid w:val="00F612BD"/>
    <w:rsid w:val="00F61A63"/>
    <w:rsid w:val="00F6283A"/>
    <w:rsid w:val="00F62E35"/>
    <w:rsid w:val="00F63F85"/>
    <w:rsid w:val="00F65BEC"/>
    <w:rsid w:val="00F66DB9"/>
    <w:rsid w:val="00F670AA"/>
    <w:rsid w:val="00F67BD0"/>
    <w:rsid w:val="00F70359"/>
    <w:rsid w:val="00F73698"/>
    <w:rsid w:val="00F73F38"/>
    <w:rsid w:val="00F741CB"/>
    <w:rsid w:val="00F74F03"/>
    <w:rsid w:val="00F7578C"/>
    <w:rsid w:val="00F76692"/>
    <w:rsid w:val="00F77060"/>
    <w:rsid w:val="00F77E20"/>
    <w:rsid w:val="00F77E7E"/>
    <w:rsid w:val="00F800ED"/>
    <w:rsid w:val="00F80C36"/>
    <w:rsid w:val="00F823D2"/>
    <w:rsid w:val="00F83BDF"/>
    <w:rsid w:val="00F84AD6"/>
    <w:rsid w:val="00F84F6A"/>
    <w:rsid w:val="00F856F3"/>
    <w:rsid w:val="00F863D3"/>
    <w:rsid w:val="00F8680E"/>
    <w:rsid w:val="00F86BA2"/>
    <w:rsid w:val="00F87531"/>
    <w:rsid w:val="00F87702"/>
    <w:rsid w:val="00F90305"/>
    <w:rsid w:val="00F94EDE"/>
    <w:rsid w:val="00F961DC"/>
    <w:rsid w:val="00F9716F"/>
    <w:rsid w:val="00FA08F5"/>
    <w:rsid w:val="00FA2601"/>
    <w:rsid w:val="00FA31C8"/>
    <w:rsid w:val="00FA31E2"/>
    <w:rsid w:val="00FA3408"/>
    <w:rsid w:val="00FA4214"/>
    <w:rsid w:val="00FA4C71"/>
    <w:rsid w:val="00FA4D93"/>
    <w:rsid w:val="00FA632B"/>
    <w:rsid w:val="00FA759E"/>
    <w:rsid w:val="00FA795F"/>
    <w:rsid w:val="00FA7D74"/>
    <w:rsid w:val="00FA7F4F"/>
    <w:rsid w:val="00FB011A"/>
    <w:rsid w:val="00FB03B7"/>
    <w:rsid w:val="00FB07AD"/>
    <w:rsid w:val="00FB0BE8"/>
    <w:rsid w:val="00FB0D8C"/>
    <w:rsid w:val="00FB0F0A"/>
    <w:rsid w:val="00FB152F"/>
    <w:rsid w:val="00FB1A20"/>
    <w:rsid w:val="00FB29FE"/>
    <w:rsid w:val="00FB40D5"/>
    <w:rsid w:val="00FB4129"/>
    <w:rsid w:val="00FB51E5"/>
    <w:rsid w:val="00FC0C94"/>
    <w:rsid w:val="00FC16DF"/>
    <w:rsid w:val="00FC3702"/>
    <w:rsid w:val="00FC38A5"/>
    <w:rsid w:val="00FC403D"/>
    <w:rsid w:val="00FC7838"/>
    <w:rsid w:val="00FC7E8D"/>
    <w:rsid w:val="00FD0194"/>
    <w:rsid w:val="00FD0490"/>
    <w:rsid w:val="00FD04FD"/>
    <w:rsid w:val="00FD1786"/>
    <w:rsid w:val="00FD6683"/>
    <w:rsid w:val="00FE0107"/>
    <w:rsid w:val="00FE03F3"/>
    <w:rsid w:val="00FE0CF8"/>
    <w:rsid w:val="00FE0F80"/>
    <w:rsid w:val="00FE153E"/>
    <w:rsid w:val="00FE1929"/>
    <w:rsid w:val="00FE1C6F"/>
    <w:rsid w:val="00FE28A7"/>
    <w:rsid w:val="00FE4FF4"/>
    <w:rsid w:val="00FE7649"/>
    <w:rsid w:val="00FE78F9"/>
    <w:rsid w:val="00FF0984"/>
    <w:rsid w:val="00FF2B0B"/>
    <w:rsid w:val="00FF31E9"/>
    <w:rsid w:val="00FF367E"/>
    <w:rsid w:val="00FF3EFF"/>
    <w:rsid w:val="00FF4031"/>
    <w:rsid w:val="00FF4CF2"/>
    <w:rsid w:val="00FF51BC"/>
    <w:rsid w:val="00FF6985"/>
    <w:rsid w:val="00FF6BA0"/>
    <w:rsid w:val="00FF767C"/>
    <w:rsid w:val="00FF7AB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0402">
      <o:colormru v:ext="edit" colors="#8db3e2,#0192ff,#fdeddf,#cff,#fff2cd,#e2f3fe,#e1f9ff,#effcff"/>
      <o:colormenu v:ext="edit" fillcolor="#effcff" strokecolor="none" shadowcolor="none [671]"/>
    </o:shapedefaults>
    <o:shapelayout v:ext="edit">
      <o:idmap v:ext="edit" data="1,209"/>
      <o:rules v:ext="edit">
        <o:r id="V:Rule14" type="connector" idref="#_x0000_s214442"/>
        <o:r id="V:Rule15" type="connector" idref="#_x0000_s214391"/>
        <o:r id="V:Rule16" type="connector" idref="#_x0000_s1795"/>
        <o:r id="V:Rule17" type="connector" idref="#_x0000_s214441"/>
        <o:r id="V:Rule18" type="connector" idref="#_x0000_s214384"/>
        <o:r id="V:Rule19" type="connector" idref="#_x0000_s214383"/>
        <o:r id="V:Rule20" type="connector" idref="#_x0000_s214381"/>
        <o:r id="V:Rule21" type="connector" idref="#_x0000_s214392"/>
        <o:r id="V:Rule22" type="connector" idref="#_x0000_s1794"/>
        <o:r id="V:Rule23" type="connector" idref="#_x0000_s214385"/>
        <o:r id="V:Rule24" type="connector" idref="#_x0000_s214372"/>
        <o:r id="V:Rule25" type="connector" idref="#_x0000_s214437"/>
        <o:r id="V:Rule26" type="connector" idref="#_x0000_s214382"/>
      </o:rules>
      <o:regrouptable v:ext="edit">
        <o:entry new="1" old="0"/>
        <o:entry new="2" old="0"/>
        <o:entry new="3" old="0"/>
        <o:entry new="4" old="3"/>
        <o:entry new="5" old="0"/>
        <o:entry new="6" old="5"/>
        <o:entry new="7" old="0"/>
        <o:entry new="8" old="7"/>
        <o:entry new="9" old="0"/>
        <o:entry new="10" old="0"/>
        <o:entry new="11" old="0"/>
        <o:entry new="12" old="0"/>
        <o:entry new="13" old="12"/>
        <o:entry new="14" old="0"/>
        <o:entry new="15" old="14"/>
        <o:entry new="16" old="15"/>
        <o:entry new="17" old="0"/>
        <o:entry new="18" old="17"/>
        <o:entry new="19" old="0"/>
        <o:entry new="20" old="19"/>
        <o:entry new="21" old="0"/>
        <o:entry new="22" old="21"/>
        <o:entry new="2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421B"/>
    <w:pPr>
      <w:spacing w:after="100" w:line="288" w:lineRule="auto"/>
      <w:jc w:val="both"/>
    </w:pPr>
    <w:rPr>
      <w:sz w:val="19"/>
    </w:rPr>
  </w:style>
  <w:style w:type="paragraph" w:styleId="Kop1">
    <w:name w:val="heading 1"/>
    <w:basedOn w:val="Standaard"/>
    <w:next w:val="Standaard"/>
    <w:link w:val="Kop1Char"/>
    <w:uiPriority w:val="9"/>
    <w:qFormat/>
    <w:rsid w:val="00F51067"/>
    <w:pPr>
      <w:keepNext/>
      <w:keepLines/>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Kop2">
    <w:name w:val="heading 2"/>
    <w:basedOn w:val="Standaard"/>
    <w:next w:val="Standaard"/>
    <w:link w:val="Kop2Char"/>
    <w:uiPriority w:val="9"/>
    <w:unhideWhenUsed/>
    <w:qFormat/>
    <w:rsid w:val="0059421B"/>
    <w:pPr>
      <w:keepNext/>
      <w:keepLines/>
      <w:jc w:val="left"/>
      <w:outlineLvl w:val="1"/>
    </w:pPr>
    <w:rPr>
      <w:rFonts w:ascii="Verdana" w:eastAsiaTheme="majorEastAsia" w:hAnsi="Verdana" w:cstheme="majorBidi"/>
      <w:bCs/>
      <w:color w:val="1F497D" w:themeColor="text2"/>
      <w:sz w:val="26"/>
      <w:szCs w:val="26"/>
    </w:rPr>
  </w:style>
  <w:style w:type="paragraph" w:styleId="Kop3">
    <w:name w:val="heading 3"/>
    <w:basedOn w:val="Standaard"/>
    <w:next w:val="Standaard"/>
    <w:link w:val="Kop3Char"/>
    <w:uiPriority w:val="9"/>
    <w:unhideWhenUsed/>
    <w:qFormat/>
    <w:rsid w:val="00214446"/>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5457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Intensievebenadrukking">
    <w:name w:val="Intense Emphasis"/>
    <w:aliases w:val="figurentekst"/>
    <w:basedOn w:val="Standaardalinea-lettertype"/>
    <w:uiPriority w:val="21"/>
    <w:qFormat/>
    <w:rsid w:val="00EF0579"/>
    <w:rPr>
      <w:rFonts w:asciiTheme="minorHAnsi" w:hAnsiTheme="minorHAnsi"/>
      <w:bCs/>
      <w:iCs/>
      <w:color w:val="auto"/>
      <w:sz w:val="18"/>
    </w:rPr>
  </w:style>
  <w:style w:type="paragraph" w:styleId="Titel">
    <w:name w:val="Title"/>
    <w:basedOn w:val="Standaard"/>
    <w:next w:val="Standaard"/>
    <w:link w:val="TitelChar"/>
    <w:uiPriority w:val="10"/>
    <w:qFormat/>
    <w:rsid w:val="00CF61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CF618A"/>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CF618A"/>
    <w:pPr>
      <w:ind w:left="720"/>
      <w:contextualSpacing/>
    </w:pPr>
  </w:style>
  <w:style w:type="character" w:customStyle="1" w:styleId="Kop2Char">
    <w:name w:val="Kop 2 Char"/>
    <w:basedOn w:val="Standaardalinea-lettertype"/>
    <w:link w:val="Kop2"/>
    <w:uiPriority w:val="9"/>
    <w:rsid w:val="0059421B"/>
    <w:rPr>
      <w:rFonts w:ascii="Verdana" w:eastAsiaTheme="majorEastAsia" w:hAnsi="Verdana" w:cstheme="majorBidi"/>
      <w:bCs/>
      <w:color w:val="1F497D" w:themeColor="text2"/>
      <w:sz w:val="26"/>
      <w:szCs w:val="26"/>
    </w:rPr>
  </w:style>
  <w:style w:type="paragraph" w:styleId="Ballontekst">
    <w:name w:val="Balloon Text"/>
    <w:basedOn w:val="Standaard"/>
    <w:link w:val="BallontekstChar"/>
    <w:uiPriority w:val="99"/>
    <w:semiHidden/>
    <w:unhideWhenUsed/>
    <w:rsid w:val="00D40E3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0E3D"/>
    <w:rPr>
      <w:rFonts w:ascii="Tahoma" w:hAnsi="Tahoma" w:cs="Tahoma"/>
      <w:sz w:val="16"/>
      <w:szCs w:val="16"/>
    </w:rPr>
  </w:style>
  <w:style w:type="character" w:customStyle="1" w:styleId="Kop3Char">
    <w:name w:val="Kop 3 Char"/>
    <w:basedOn w:val="Standaardalinea-lettertype"/>
    <w:link w:val="Kop3"/>
    <w:uiPriority w:val="9"/>
    <w:rsid w:val="00214446"/>
    <w:rPr>
      <w:rFonts w:asciiTheme="majorHAnsi" w:eastAsiaTheme="majorEastAsia" w:hAnsiTheme="majorHAnsi" w:cstheme="majorBidi"/>
      <w:b/>
      <w:bCs/>
      <w:color w:val="4F81BD" w:themeColor="accent1"/>
    </w:rPr>
  </w:style>
  <w:style w:type="character" w:styleId="Hyperlink">
    <w:name w:val="Hyperlink"/>
    <w:basedOn w:val="Standaardalinea-lettertype"/>
    <w:uiPriority w:val="99"/>
    <w:rsid w:val="00214446"/>
    <w:rPr>
      <w:color w:val="0000FF"/>
      <w:u w:val="single"/>
    </w:rPr>
  </w:style>
  <w:style w:type="paragraph" w:styleId="Voetnoottekst">
    <w:name w:val="footnote text"/>
    <w:basedOn w:val="Standaard"/>
    <w:link w:val="VoetnoottekstChar"/>
    <w:semiHidden/>
    <w:rsid w:val="00214446"/>
    <w:pPr>
      <w:spacing w:after="0" w:line="240" w:lineRule="auto"/>
    </w:pPr>
    <w:rPr>
      <w:rFonts w:ascii="Calibri" w:eastAsia="Times New Roman" w:hAnsi="Calibri" w:cs="Times New Roman"/>
      <w:sz w:val="20"/>
      <w:szCs w:val="20"/>
      <w:lang w:eastAsia="nl-NL"/>
    </w:rPr>
  </w:style>
  <w:style w:type="character" w:customStyle="1" w:styleId="VoetnoottekstChar">
    <w:name w:val="Voetnoottekst Char"/>
    <w:basedOn w:val="Standaardalinea-lettertype"/>
    <w:link w:val="Voetnoottekst"/>
    <w:semiHidden/>
    <w:rsid w:val="00214446"/>
    <w:rPr>
      <w:rFonts w:ascii="Calibri" w:eastAsia="Times New Roman" w:hAnsi="Calibri" w:cs="Times New Roman"/>
      <w:sz w:val="20"/>
      <w:szCs w:val="20"/>
      <w:lang w:eastAsia="nl-NL"/>
    </w:rPr>
  </w:style>
  <w:style w:type="character" w:customStyle="1" w:styleId="Kop1Char">
    <w:name w:val="Kop 1 Char"/>
    <w:basedOn w:val="Standaardalinea-lettertype"/>
    <w:link w:val="Kop1"/>
    <w:uiPriority w:val="9"/>
    <w:rsid w:val="00F51067"/>
    <w:rPr>
      <w:rFonts w:asciiTheme="majorHAnsi" w:eastAsiaTheme="majorEastAsia" w:hAnsiTheme="majorHAnsi" w:cstheme="majorBidi"/>
      <w:b/>
      <w:bCs/>
      <w:color w:val="365F91" w:themeColor="accent1" w:themeShade="BF"/>
      <w:sz w:val="40"/>
      <w:szCs w:val="28"/>
    </w:rPr>
  </w:style>
  <w:style w:type="paragraph" w:customStyle="1" w:styleId="volissue">
    <w:name w:val="volissue"/>
    <w:basedOn w:val="Standaard"/>
    <w:rsid w:val="00C3038C"/>
    <w:pPr>
      <w:spacing w:before="100" w:beforeAutospacing="1"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A40CD"/>
    <w:rPr>
      <w:b/>
      <w:bCs/>
    </w:rPr>
  </w:style>
  <w:style w:type="paragraph" w:styleId="Normaalweb">
    <w:name w:val="Normal (Web)"/>
    <w:basedOn w:val="Standaard"/>
    <w:uiPriority w:val="99"/>
    <w:unhideWhenUsed/>
    <w:rsid w:val="006A40CD"/>
    <w:pPr>
      <w:spacing w:before="100" w:beforeAutospacing="1" w:afterAutospacing="1" w:line="240" w:lineRule="auto"/>
    </w:pPr>
    <w:rPr>
      <w:rFonts w:ascii="Times New Roman" w:eastAsia="Times New Roman" w:hAnsi="Times New Roman" w:cs="Times New Roman"/>
      <w:sz w:val="24"/>
      <w:szCs w:val="24"/>
      <w:lang w:eastAsia="nl-NL"/>
    </w:rPr>
  </w:style>
  <w:style w:type="character" w:customStyle="1" w:styleId="reference-text">
    <w:name w:val="reference-text"/>
    <w:basedOn w:val="Standaardalinea-lettertype"/>
    <w:rsid w:val="00101295"/>
  </w:style>
  <w:style w:type="paragraph" w:styleId="Koptekst">
    <w:name w:val="header"/>
    <w:basedOn w:val="Standaard"/>
    <w:link w:val="KoptekstChar"/>
    <w:uiPriority w:val="99"/>
    <w:unhideWhenUsed/>
    <w:rsid w:val="00E276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7692"/>
  </w:style>
  <w:style w:type="paragraph" w:styleId="Voettekst">
    <w:name w:val="footer"/>
    <w:basedOn w:val="Standaard"/>
    <w:link w:val="VoettekstChar"/>
    <w:uiPriority w:val="99"/>
    <w:unhideWhenUsed/>
    <w:rsid w:val="00E276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7692"/>
  </w:style>
  <w:style w:type="character" w:styleId="GevolgdeHyperlink">
    <w:name w:val="FollowedHyperlink"/>
    <w:basedOn w:val="Standaardalinea-lettertype"/>
    <w:uiPriority w:val="99"/>
    <w:semiHidden/>
    <w:unhideWhenUsed/>
    <w:rsid w:val="00226017"/>
    <w:rPr>
      <w:color w:val="800080" w:themeColor="followedHyperlink"/>
      <w:u w:val="single"/>
    </w:rPr>
  </w:style>
  <w:style w:type="paragraph" w:customStyle="1" w:styleId="LOGOWTL">
    <w:name w:val="LOGO WTL"/>
    <w:basedOn w:val="Standaard"/>
    <w:rsid w:val="00440156"/>
    <w:pPr>
      <w:keepNext/>
      <w:spacing w:before="80" w:after="80" w:line="240" w:lineRule="auto"/>
      <w:outlineLvl w:val="2"/>
    </w:pPr>
    <w:rPr>
      <w:rFonts w:ascii="Arial" w:eastAsia="Times New Roman" w:hAnsi="Arial" w:cs="Arial"/>
      <w:bCs/>
      <w:i/>
      <w:color w:val="00FF00"/>
      <w:sz w:val="36"/>
      <w:szCs w:val="36"/>
      <w:lang w:eastAsia="nl-NL"/>
    </w:rPr>
  </w:style>
  <w:style w:type="paragraph" w:styleId="Kopvaninhoudsopgave">
    <w:name w:val="TOC Heading"/>
    <w:basedOn w:val="Kop1"/>
    <w:next w:val="Standaard"/>
    <w:uiPriority w:val="39"/>
    <w:semiHidden/>
    <w:unhideWhenUsed/>
    <w:qFormat/>
    <w:rsid w:val="00B0483D"/>
    <w:pPr>
      <w:outlineLvl w:val="9"/>
    </w:pPr>
  </w:style>
  <w:style w:type="paragraph" w:styleId="Inhopg2">
    <w:name w:val="toc 2"/>
    <w:basedOn w:val="Standaard"/>
    <w:next w:val="Standaard"/>
    <w:autoRedefine/>
    <w:uiPriority w:val="39"/>
    <w:unhideWhenUsed/>
    <w:rsid w:val="00B0483D"/>
    <w:pPr>
      <w:ind w:left="220"/>
    </w:pPr>
  </w:style>
  <w:style w:type="paragraph" w:customStyle="1" w:styleId="Default">
    <w:name w:val="Default"/>
    <w:rsid w:val="001A7965"/>
    <w:pPr>
      <w:autoSpaceDE w:val="0"/>
      <w:autoSpaceDN w:val="0"/>
      <w:adjustRightInd w:val="0"/>
      <w:spacing w:after="0" w:line="240" w:lineRule="auto"/>
    </w:pPr>
    <w:rPr>
      <w:rFonts w:ascii="Charter ITC Std Black" w:hAnsi="Charter ITC Std Black" w:cs="Charter ITC Std Black"/>
      <w:color w:val="000000"/>
      <w:sz w:val="24"/>
      <w:szCs w:val="24"/>
    </w:rPr>
  </w:style>
  <w:style w:type="paragraph" w:customStyle="1" w:styleId="Pa9">
    <w:name w:val="Pa9"/>
    <w:basedOn w:val="Default"/>
    <w:next w:val="Default"/>
    <w:uiPriority w:val="99"/>
    <w:rsid w:val="007F6A82"/>
    <w:pPr>
      <w:spacing w:line="191" w:lineRule="atLeast"/>
    </w:pPr>
    <w:rPr>
      <w:rFonts w:cstheme="minorBidi"/>
      <w:color w:val="auto"/>
    </w:rPr>
  </w:style>
  <w:style w:type="paragraph" w:styleId="Inhopg3">
    <w:name w:val="toc 3"/>
    <w:basedOn w:val="Standaard"/>
    <w:next w:val="Standaard"/>
    <w:autoRedefine/>
    <w:uiPriority w:val="39"/>
    <w:unhideWhenUsed/>
    <w:rsid w:val="00D5255A"/>
    <w:pPr>
      <w:ind w:left="440"/>
    </w:pPr>
  </w:style>
  <w:style w:type="character" w:customStyle="1" w:styleId="wordentry">
    <w:name w:val="wordentry"/>
    <w:basedOn w:val="Standaardalinea-lettertype"/>
    <w:rsid w:val="00EF0A86"/>
  </w:style>
  <w:style w:type="table" w:styleId="Tabelraster">
    <w:name w:val="Table Grid"/>
    <w:basedOn w:val="Standaardtabel"/>
    <w:uiPriority w:val="59"/>
    <w:rsid w:val="00464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uiPriority w:val="99"/>
    <w:semiHidden/>
    <w:unhideWhenUsed/>
    <w:rsid w:val="00D4050C"/>
    <w:rPr>
      <w:vertAlign w:val="superscript"/>
    </w:rPr>
  </w:style>
  <w:style w:type="paragraph" w:styleId="Eindnoottekst">
    <w:name w:val="endnote text"/>
    <w:basedOn w:val="Standaard"/>
    <w:link w:val="EindnoottekstChar"/>
    <w:uiPriority w:val="99"/>
    <w:semiHidden/>
    <w:unhideWhenUsed/>
    <w:rsid w:val="000D07BD"/>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0D07BD"/>
    <w:rPr>
      <w:sz w:val="20"/>
      <w:szCs w:val="20"/>
    </w:rPr>
  </w:style>
  <w:style w:type="character" w:styleId="Eindnootmarkering">
    <w:name w:val="endnote reference"/>
    <w:basedOn w:val="Standaardalinea-lettertype"/>
    <w:uiPriority w:val="99"/>
    <w:semiHidden/>
    <w:unhideWhenUsed/>
    <w:rsid w:val="000D07BD"/>
    <w:rPr>
      <w:vertAlign w:val="superscript"/>
    </w:rPr>
  </w:style>
  <w:style w:type="character" w:customStyle="1" w:styleId="Kop4Char">
    <w:name w:val="Kop 4 Char"/>
    <w:basedOn w:val="Standaardalinea-lettertype"/>
    <w:link w:val="Kop4"/>
    <w:uiPriority w:val="9"/>
    <w:rsid w:val="005457B9"/>
    <w:rPr>
      <w:rFonts w:asciiTheme="majorHAnsi" w:eastAsiaTheme="majorEastAsia" w:hAnsiTheme="majorHAnsi" w:cstheme="majorBidi"/>
      <w:b/>
      <w:bCs/>
      <w:i/>
      <w:iCs/>
      <w:color w:val="4F81BD" w:themeColor="accent1"/>
    </w:rPr>
  </w:style>
  <w:style w:type="paragraph" w:styleId="Inhopg1">
    <w:name w:val="toc 1"/>
    <w:basedOn w:val="Standaard"/>
    <w:next w:val="Standaard"/>
    <w:autoRedefine/>
    <w:uiPriority w:val="39"/>
    <w:unhideWhenUsed/>
    <w:rsid w:val="00E23981"/>
    <w:pPr>
      <w:tabs>
        <w:tab w:val="right" w:leader="dot" w:pos="7926"/>
      </w:tabs>
    </w:pPr>
    <w:rPr>
      <w:noProof/>
      <w:color w:val="1F497D" w:themeColor="text2"/>
      <w:sz w:val="24"/>
      <w:lang w:val="en-US"/>
    </w:rPr>
  </w:style>
</w:styles>
</file>

<file path=word/webSettings.xml><?xml version="1.0" encoding="utf-8"?>
<w:webSettings xmlns:r="http://schemas.openxmlformats.org/officeDocument/2006/relationships" xmlns:w="http://schemas.openxmlformats.org/wordprocessingml/2006/main">
  <w:divs>
    <w:div w:id="39207996">
      <w:bodyDiv w:val="1"/>
      <w:marLeft w:val="0"/>
      <w:marRight w:val="0"/>
      <w:marTop w:val="0"/>
      <w:marBottom w:val="0"/>
      <w:divBdr>
        <w:top w:val="none" w:sz="0" w:space="0" w:color="auto"/>
        <w:left w:val="none" w:sz="0" w:space="0" w:color="auto"/>
        <w:bottom w:val="none" w:sz="0" w:space="0" w:color="auto"/>
        <w:right w:val="none" w:sz="0" w:space="0" w:color="auto"/>
      </w:divBdr>
    </w:div>
    <w:div w:id="45570403">
      <w:bodyDiv w:val="1"/>
      <w:marLeft w:val="0"/>
      <w:marRight w:val="0"/>
      <w:marTop w:val="0"/>
      <w:marBottom w:val="0"/>
      <w:divBdr>
        <w:top w:val="none" w:sz="0" w:space="0" w:color="auto"/>
        <w:left w:val="none" w:sz="0" w:space="0" w:color="auto"/>
        <w:bottom w:val="none" w:sz="0" w:space="0" w:color="auto"/>
        <w:right w:val="none" w:sz="0" w:space="0" w:color="auto"/>
      </w:divBdr>
    </w:div>
    <w:div w:id="93720088">
      <w:bodyDiv w:val="1"/>
      <w:marLeft w:val="0"/>
      <w:marRight w:val="0"/>
      <w:marTop w:val="0"/>
      <w:marBottom w:val="0"/>
      <w:divBdr>
        <w:top w:val="none" w:sz="0" w:space="0" w:color="auto"/>
        <w:left w:val="none" w:sz="0" w:space="0" w:color="auto"/>
        <w:bottom w:val="none" w:sz="0" w:space="0" w:color="auto"/>
        <w:right w:val="none" w:sz="0" w:space="0" w:color="auto"/>
      </w:divBdr>
    </w:div>
    <w:div w:id="136337150">
      <w:bodyDiv w:val="1"/>
      <w:marLeft w:val="0"/>
      <w:marRight w:val="0"/>
      <w:marTop w:val="0"/>
      <w:marBottom w:val="0"/>
      <w:divBdr>
        <w:top w:val="none" w:sz="0" w:space="0" w:color="auto"/>
        <w:left w:val="none" w:sz="0" w:space="0" w:color="auto"/>
        <w:bottom w:val="none" w:sz="0" w:space="0" w:color="auto"/>
        <w:right w:val="none" w:sz="0" w:space="0" w:color="auto"/>
      </w:divBdr>
    </w:div>
    <w:div w:id="265040150">
      <w:bodyDiv w:val="1"/>
      <w:marLeft w:val="0"/>
      <w:marRight w:val="0"/>
      <w:marTop w:val="0"/>
      <w:marBottom w:val="0"/>
      <w:divBdr>
        <w:top w:val="none" w:sz="0" w:space="0" w:color="auto"/>
        <w:left w:val="none" w:sz="0" w:space="0" w:color="auto"/>
        <w:bottom w:val="none" w:sz="0" w:space="0" w:color="auto"/>
        <w:right w:val="none" w:sz="0" w:space="0" w:color="auto"/>
      </w:divBdr>
    </w:div>
    <w:div w:id="268045137">
      <w:bodyDiv w:val="1"/>
      <w:marLeft w:val="0"/>
      <w:marRight w:val="0"/>
      <w:marTop w:val="0"/>
      <w:marBottom w:val="0"/>
      <w:divBdr>
        <w:top w:val="none" w:sz="0" w:space="0" w:color="auto"/>
        <w:left w:val="none" w:sz="0" w:space="0" w:color="auto"/>
        <w:bottom w:val="none" w:sz="0" w:space="0" w:color="auto"/>
        <w:right w:val="none" w:sz="0" w:space="0" w:color="auto"/>
      </w:divBdr>
    </w:div>
    <w:div w:id="304773356">
      <w:bodyDiv w:val="1"/>
      <w:marLeft w:val="0"/>
      <w:marRight w:val="0"/>
      <w:marTop w:val="0"/>
      <w:marBottom w:val="0"/>
      <w:divBdr>
        <w:top w:val="none" w:sz="0" w:space="0" w:color="auto"/>
        <w:left w:val="none" w:sz="0" w:space="0" w:color="auto"/>
        <w:bottom w:val="none" w:sz="0" w:space="0" w:color="auto"/>
        <w:right w:val="none" w:sz="0" w:space="0" w:color="auto"/>
      </w:divBdr>
    </w:div>
    <w:div w:id="318464317">
      <w:bodyDiv w:val="1"/>
      <w:marLeft w:val="0"/>
      <w:marRight w:val="0"/>
      <w:marTop w:val="0"/>
      <w:marBottom w:val="0"/>
      <w:divBdr>
        <w:top w:val="none" w:sz="0" w:space="0" w:color="auto"/>
        <w:left w:val="none" w:sz="0" w:space="0" w:color="auto"/>
        <w:bottom w:val="none" w:sz="0" w:space="0" w:color="auto"/>
        <w:right w:val="none" w:sz="0" w:space="0" w:color="auto"/>
      </w:divBdr>
    </w:div>
    <w:div w:id="392049937">
      <w:bodyDiv w:val="1"/>
      <w:marLeft w:val="0"/>
      <w:marRight w:val="0"/>
      <w:marTop w:val="0"/>
      <w:marBottom w:val="0"/>
      <w:divBdr>
        <w:top w:val="none" w:sz="0" w:space="0" w:color="auto"/>
        <w:left w:val="none" w:sz="0" w:space="0" w:color="auto"/>
        <w:bottom w:val="none" w:sz="0" w:space="0" w:color="auto"/>
        <w:right w:val="none" w:sz="0" w:space="0" w:color="auto"/>
      </w:divBdr>
    </w:div>
    <w:div w:id="396560502">
      <w:bodyDiv w:val="1"/>
      <w:marLeft w:val="0"/>
      <w:marRight w:val="0"/>
      <w:marTop w:val="0"/>
      <w:marBottom w:val="0"/>
      <w:divBdr>
        <w:top w:val="none" w:sz="0" w:space="0" w:color="auto"/>
        <w:left w:val="none" w:sz="0" w:space="0" w:color="auto"/>
        <w:bottom w:val="none" w:sz="0" w:space="0" w:color="auto"/>
        <w:right w:val="none" w:sz="0" w:space="0" w:color="auto"/>
      </w:divBdr>
    </w:div>
    <w:div w:id="707099863">
      <w:bodyDiv w:val="1"/>
      <w:marLeft w:val="0"/>
      <w:marRight w:val="0"/>
      <w:marTop w:val="0"/>
      <w:marBottom w:val="0"/>
      <w:divBdr>
        <w:top w:val="none" w:sz="0" w:space="0" w:color="auto"/>
        <w:left w:val="none" w:sz="0" w:space="0" w:color="auto"/>
        <w:bottom w:val="none" w:sz="0" w:space="0" w:color="auto"/>
        <w:right w:val="none" w:sz="0" w:space="0" w:color="auto"/>
      </w:divBdr>
    </w:div>
    <w:div w:id="719331651">
      <w:bodyDiv w:val="1"/>
      <w:marLeft w:val="0"/>
      <w:marRight w:val="0"/>
      <w:marTop w:val="0"/>
      <w:marBottom w:val="0"/>
      <w:divBdr>
        <w:top w:val="none" w:sz="0" w:space="0" w:color="auto"/>
        <w:left w:val="none" w:sz="0" w:space="0" w:color="auto"/>
        <w:bottom w:val="none" w:sz="0" w:space="0" w:color="auto"/>
        <w:right w:val="none" w:sz="0" w:space="0" w:color="auto"/>
      </w:divBdr>
    </w:div>
    <w:div w:id="748191081">
      <w:bodyDiv w:val="1"/>
      <w:marLeft w:val="0"/>
      <w:marRight w:val="0"/>
      <w:marTop w:val="0"/>
      <w:marBottom w:val="0"/>
      <w:divBdr>
        <w:top w:val="none" w:sz="0" w:space="0" w:color="auto"/>
        <w:left w:val="none" w:sz="0" w:space="0" w:color="auto"/>
        <w:bottom w:val="none" w:sz="0" w:space="0" w:color="auto"/>
        <w:right w:val="none" w:sz="0" w:space="0" w:color="auto"/>
      </w:divBdr>
    </w:div>
    <w:div w:id="749042824">
      <w:bodyDiv w:val="1"/>
      <w:marLeft w:val="0"/>
      <w:marRight w:val="0"/>
      <w:marTop w:val="0"/>
      <w:marBottom w:val="0"/>
      <w:divBdr>
        <w:top w:val="none" w:sz="0" w:space="0" w:color="auto"/>
        <w:left w:val="none" w:sz="0" w:space="0" w:color="auto"/>
        <w:bottom w:val="none" w:sz="0" w:space="0" w:color="auto"/>
        <w:right w:val="none" w:sz="0" w:space="0" w:color="auto"/>
      </w:divBdr>
    </w:div>
    <w:div w:id="781415026">
      <w:bodyDiv w:val="1"/>
      <w:marLeft w:val="0"/>
      <w:marRight w:val="0"/>
      <w:marTop w:val="0"/>
      <w:marBottom w:val="0"/>
      <w:divBdr>
        <w:top w:val="none" w:sz="0" w:space="0" w:color="auto"/>
        <w:left w:val="none" w:sz="0" w:space="0" w:color="auto"/>
        <w:bottom w:val="none" w:sz="0" w:space="0" w:color="auto"/>
        <w:right w:val="none" w:sz="0" w:space="0" w:color="auto"/>
      </w:divBdr>
    </w:div>
    <w:div w:id="816995156">
      <w:bodyDiv w:val="1"/>
      <w:marLeft w:val="0"/>
      <w:marRight w:val="0"/>
      <w:marTop w:val="0"/>
      <w:marBottom w:val="0"/>
      <w:divBdr>
        <w:top w:val="none" w:sz="0" w:space="0" w:color="auto"/>
        <w:left w:val="none" w:sz="0" w:space="0" w:color="auto"/>
        <w:bottom w:val="none" w:sz="0" w:space="0" w:color="auto"/>
        <w:right w:val="none" w:sz="0" w:space="0" w:color="auto"/>
      </w:divBdr>
    </w:div>
    <w:div w:id="820922868">
      <w:bodyDiv w:val="1"/>
      <w:marLeft w:val="0"/>
      <w:marRight w:val="0"/>
      <w:marTop w:val="0"/>
      <w:marBottom w:val="0"/>
      <w:divBdr>
        <w:top w:val="none" w:sz="0" w:space="0" w:color="auto"/>
        <w:left w:val="none" w:sz="0" w:space="0" w:color="auto"/>
        <w:bottom w:val="none" w:sz="0" w:space="0" w:color="auto"/>
        <w:right w:val="none" w:sz="0" w:space="0" w:color="auto"/>
      </w:divBdr>
    </w:div>
    <w:div w:id="828864057">
      <w:bodyDiv w:val="1"/>
      <w:marLeft w:val="0"/>
      <w:marRight w:val="0"/>
      <w:marTop w:val="0"/>
      <w:marBottom w:val="0"/>
      <w:divBdr>
        <w:top w:val="none" w:sz="0" w:space="0" w:color="auto"/>
        <w:left w:val="none" w:sz="0" w:space="0" w:color="auto"/>
        <w:bottom w:val="none" w:sz="0" w:space="0" w:color="auto"/>
        <w:right w:val="none" w:sz="0" w:space="0" w:color="auto"/>
      </w:divBdr>
    </w:div>
    <w:div w:id="887646399">
      <w:bodyDiv w:val="1"/>
      <w:marLeft w:val="0"/>
      <w:marRight w:val="0"/>
      <w:marTop w:val="0"/>
      <w:marBottom w:val="0"/>
      <w:divBdr>
        <w:top w:val="none" w:sz="0" w:space="0" w:color="auto"/>
        <w:left w:val="none" w:sz="0" w:space="0" w:color="auto"/>
        <w:bottom w:val="none" w:sz="0" w:space="0" w:color="auto"/>
        <w:right w:val="none" w:sz="0" w:space="0" w:color="auto"/>
      </w:divBdr>
    </w:div>
    <w:div w:id="924649612">
      <w:bodyDiv w:val="1"/>
      <w:marLeft w:val="0"/>
      <w:marRight w:val="0"/>
      <w:marTop w:val="0"/>
      <w:marBottom w:val="0"/>
      <w:divBdr>
        <w:top w:val="none" w:sz="0" w:space="0" w:color="auto"/>
        <w:left w:val="none" w:sz="0" w:space="0" w:color="auto"/>
        <w:bottom w:val="none" w:sz="0" w:space="0" w:color="auto"/>
        <w:right w:val="none" w:sz="0" w:space="0" w:color="auto"/>
      </w:divBdr>
    </w:div>
    <w:div w:id="1029447977">
      <w:bodyDiv w:val="1"/>
      <w:marLeft w:val="0"/>
      <w:marRight w:val="0"/>
      <w:marTop w:val="0"/>
      <w:marBottom w:val="0"/>
      <w:divBdr>
        <w:top w:val="none" w:sz="0" w:space="0" w:color="auto"/>
        <w:left w:val="none" w:sz="0" w:space="0" w:color="auto"/>
        <w:bottom w:val="none" w:sz="0" w:space="0" w:color="auto"/>
        <w:right w:val="none" w:sz="0" w:space="0" w:color="auto"/>
      </w:divBdr>
    </w:div>
    <w:div w:id="1093742156">
      <w:bodyDiv w:val="1"/>
      <w:marLeft w:val="0"/>
      <w:marRight w:val="0"/>
      <w:marTop w:val="0"/>
      <w:marBottom w:val="0"/>
      <w:divBdr>
        <w:top w:val="none" w:sz="0" w:space="0" w:color="auto"/>
        <w:left w:val="none" w:sz="0" w:space="0" w:color="auto"/>
        <w:bottom w:val="none" w:sz="0" w:space="0" w:color="auto"/>
        <w:right w:val="none" w:sz="0" w:space="0" w:color="auto"/>
      </w:divBdr>
    </w:div>
    <w:div w:id="1142695336">
      <w:bodyDiv w:val="1"/>
      <w:marLeft w:val="0"/>
      <w:marRight w:val="0"/>
      <w:marTop w:val="0"/>
      <w:marBottom w:val="0"/>
      <w:divBdr>
        <w:top w:val="none" w:sz="0" w:space="0" w:color="auto"/>
        <w:left w:val="none" w:sz="0" w:space="0" w:color="auto"/>
        <w:bottom w:val="none" w:sz="0" w:space="0" w:color="auto"/>
        <w:right w:val="none" w:sz="0" w:space="0" w:color="auto"/>
      </w:divBdr>
    </w:div>
    <w:div w:id="1306591786">
      <w:bodyDiv w:val="1"/>
      <w:marLeft w:val="0"/>
      <w:marRight w:val="0"/>
      <w:marTop w:val="0"/>
      <w:marBottom w:val="0"/>
      <w:divBdr>
        <w:top w:val="none" w:sz="0" w:space="0" w:color="auto"/>
        <w:left w:val="none" w:sz="0" w:space="0" w:color="auto"/>
        <w:bottom w:val="none" w:sz="0" w:space="0" w:color="auto"/>
        <w:right w:val="none" w:sz="0" w:space="0" w:color="auto"/>
      </w:divBdr>
      <w:divsChild>
        <w:div w:id="457646004">
          <w:marLeft w:val="0"/>
          <w:marRight w:val="0"/>
          <w:marTop w:val="0"/>
          <w:marBottom w:val="0"/>
          <w:divBdr>
            <w:top w:val="none" w:sz="0" w:space="0" w:color="auto"/>
            <w:left w:val="none" w:sz="0" w:space="0" w:color="auto"/>
            <w:bottom w:val="none" w:sz="0" w:space="0" w:color="auto"/>
            <w:right w:val="none" w:sz="0" w:space="0" w:color="auto"/>
          </w:divBdr>
          <w:divsChild>
            <w:div w:id="18933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5485">
      <w:bodyDiv w:val="1"/>
      <w:marLeft w:val="0"/>
      <w:marRight w:val="0"/>
      <w:marTop w:val="0"/>
      <w:marBottom w:val="0"/>
      <w:divBdr>
        <w:top w:val="none" w:sz="0" w:space="0" w:color="auto"/>
        <w:left w:val="none" w:sz="0" w:space="0" w:color="auto"/>
        <w:bottom w:val="none" w:sz="0" w:space="0" w:color="auto"/>
        <w:right w:val="none" w:sz="0" w:space="0" w:color="auto"/>
      </w:divBdr>
    </w:div>
    <w:div w:id="1409576707">
      <w:bodyDiv w:val="1"/>
      <w:marLeft w:val="0"/>
      <w:marRight w:val="0"/>
      <w:marTop w:val="0"/>
      <w:marBottom w:val="0"/>
      <w:divBdr>
        <w:top w:val="none" w:sz="0" w:space="0" w:color="auto"/>
        <w:left w:val="none" w:sz="0" w:space="0" w:color="auto"/>
        <w:bottom w:val="none" w:sz="0" w:space="0" w:color="auto"/>
        <w:right w:val="none" w:sz="0" w:space="0" w:color="auto"/>
      </w:divBdr>
    </w:div>
    <w:div w:id="1414814847">
      <w:bodyDiv w:val="1"/>
      <w:marLeft w:val="0"/>
      <w:marRight w:val="0"/>
      <w:marTop w:val="0"/>
      <w:marBottom w:val="0"/>
      <w:divBdr>
        <w:top w:val="none" w:sz="0" w:space="0" w:color="auto"/>
        <w:left w:val="none" w:sz="0" w:space="0" w:color="auto"/>
        <w:bottom w:val="none" w:sz="0" w:space="0" w:color="auto"/>
        <w:right w:val="none" w:sz="0" w:space="0" w:color="auto"/>
      </w:divBdr>
    </w:div>
    <w:div w:id="1570461408">
      <w:bodyDiv w:val="1"/>
      <w:marLeft w:val="0"/>
      <w:marRight w:val="0"/>
      <w:marTop w:val="0"/>
      <w:marBottom w:val="0"/>
      <w:divBdr>
        <w:top w:val="none" w:sz="0" w:space="0" w:color="auto"/>
        <w:left w:val="none" w:sz="0" w:space="0" w:color="auto"/>
        <w:bottom w:val="none" w:sz="0" w:space="0" w:color="auto"/>
        <w:right w:val="none" w:sz="0" w:space="0" w:color="auto"/>
      </w:divBdr>
    </w:div>
    <w:div w:id="1593120140">
      <w:bodyDiv w:val="1"/>
      <w:marLeft w:val="0"/>
      <w:marRight w:val="0"/>
      <w:marTop w:val="0"/>
      <w:marBottom w:val="0"/>
      <w:divBdr>
        <w:top w:val="none" w:sz="0" w:space="0" w:color="auto"/>
        <w:left w:val="none" w:sz="0" w:space="0" w:color="auto"/>
        <w:bottom w:val="none" w:sz="0" w:space="0" w:color="auto"/>
        <w:right w:val="none" w:sz="0" w:space="0" w:color="auto"/>
      </w:divBdr>
    </w:div>
    <w:div w:id="1655448739">
      <w:bodyDiv w:val="1"/>
      <w:marLeft w:val="0"/>
      <w:marRight w:val="0"/>
      <w:marTop w:val="0"/>
      <w:marBottom w:val="0"/>
      <w:divBdr>
        <w:top w:val="none" w:sz="0" w:space="0" w:color="auto"/>
        <w:left w:val="none" w:sz="0" w:space="0" w:color="auto"/>
        <w:bottom w:val="none" w:sz="0" w:space="0" w:color="auto"/>
        <w:right w:val="none" w:sz="0" w:space="0" w:color="auto"/>
      </w:divBdr>
    </w:div>
    <w:div w:id="1698697560">
      <w:bodyDiv w:val="1"/>
      <w:marLeft w:val="0"/>
      <w:marRight w:val="0"/>
      <w:marTop w:val="0"/>
      <w:marBottom w:val="0"/>
      <w:divBdr>
        <w:top w:val="none" w:sz="0" w:space="0" w:color="auto"/>
        <w:left w:val="none" w:sz="0" w:space="0" w:color="auto"/>
        <w:bottom w:val="none" w:sz="0" w:space="0" w:color="auto"/>
        <w:right w:val="none" w:sz="0" w:space="0" w:color="auto"/>
      </w:divBdr>
    </w:div>
    <w:div w:id="1728527100">
      <w:bodyDiv w:val="1"/>
      <w:marLeft w:val="0"/>
      <w:marRight w:val="0"/>
      <w:marTop w:val="0"/>
      <w:marBottom w:val="0"/>
      <w:divBdr>
        <w:top w:val="none" w:sz="0" w:space="0" w:color="auto"/>
        <w:left w:val="none" w:sz="0" w:space="0" w:color="auto"/>
        <w:bottom w:val="none" w:sz="0" w:space="0" w:color="auto"/>
        <w:right w:val="none" w:sz="0" w:space="0" w:color="auto"/>
      </w:divBdr>
    </w:div>
    <w:div w:id="1737820988">
      <w:bodyDiv w:val="1"/>
      <w:marLeft w:val="0"/>
      <w:marRight w:val="0"/>
      <w:marTop w:val="0"/>
      <w:marBottom w:val="0"/>
      <w:divBdr>
        <w:top w:val="none" w:sz="0" w:space="0" w:color="auto"/>
        <w:left w:val="none" w:sz="0" w:space="0" w:color="auto"/>
        <w:bottom w:val="none" w:sz="0" w:space="0" w:color="auto"/>
        <w:right w:val="none" w:sz="0" w:space="0" w:color="auto"/>
      </w:divBdr>
    </w:div>
    <w:div w:id="1884168013">
      <w:bodyDiv w:val="1"/>
      <w:marLeft w:val="0"/>
      <w:marRight w:val="0"/>
      <w:marTop w:val="0"/>
      <w:marBottom w:val="0"/>
      <w:divBdr>
        <w:top w:val="none" w:sz="0" w:space="0" w:color="auto"/>
        <w:left w:val="none" w:sz="0" w:space="0" w:color="auto"/>
        <w:bottom w:val="none" w:sz="0" w:space="0" w:color="auto"/>
        <w:right w:val="none" w:sz="0" w:space="0" w:color="auto"/>
      </w:divBdr>
    </w:div>
    <w:div w:id="1901673328">
      <w:bodyDiv w:val="1"/>
      <w:marLeft w:val="0"/>
      <w:marRight w:val="0"/>
      <w:marTop w:val="0"/>
      <w:marBottom w:val="0"/>
      <w:divBdr>
        <w:top w:val="none" w:sz="0" w:space="0" w:color="auto"/>
        <w:left w:val="none" w:sz="0" w:space="0" w:color="auto"/>
        <w:bottom w:val="none" w:sz="0" w:space="0" w:color="auto"/>
        <w:right w:val="none" w:sz="0" w:space="0" w:color="auto"/>
      </w:divBdr>
    </w:div>
    <w:div w:id="1962418838">
      <w:bodyDiv w:val="1"/>
      <w:marLeft w:val="0"/>
      <w:marRight w:val="0"/>
      <w:marTop w:val="0"/>
      <w:marBottom w:val="0"/>
      <w:divBdr>
        <w:top w:val="none" w:sz="0" w:space="0" w:color="auto"/>
        <w:left w:val="none" w:sz="0" w:space="0" w:color="auto"/>
        <w:bottom w:val="none" w:sz="0" w:space="0" w:color="auto"/>
        <w:right w:val="none" w:sz="0" w:space="0" w:color="auto"/>
      </w:divBdr>
    </w:div>
    <w:div w:id="1996374395">
      <w:bodyDiv w:val="1"/>
      <w:marLeft w:val="0"/>
      <w:marRight w:val="0"/>
      <w:marTop w:val="0"/>
      <w:marBottom w:val="0"/>
      <w:divBdr>
        <w:top w:val="none" w:sz="0" w:space="0" w:color="auto"/>
        <w:left w:val="none" w:sz="0" w:space="0" w:color="auto"/>
        <w:bottom w:val="none" w:sz="0" w:space="0" w:color="auto"/>
        <w:right w:val="none" w:sz="0" w:space="0" w:color="auto"/>
      </w:divBdr>
    </w:div>
    <w:div w:id="2038383258">
      <w:bodyDiv w:val="1"/>
      <w:marLeft w:val="0"/>
      <w:marRight w:val="0"/>
      <w:marTop w:val="0"/>
      <w:marBottom w:val="0"/>
      <w:divBdr>
        <w:top w:val="none" w:sz="0" w:space="0" w:color="auto"/>
        <w:left w:val="none" w:sz="0" w:space="0" w:color="auto"/>
        <w:bottom w:val="none" w:sz="0" w:space="0" w:color="auto"/>
        <w:right w:val="none" w:sz="0" w:space="0" w:color="auto"/>
      </w:divBdr>
    </w:div>
    <w:div w:id="2076775582">
      <w:bodyDiv w:val="1"/>
      <w:marLeft w:val="0"/>
      <w:marRight w:val="0"/>
      <w:marTop w:val="0"/>
      <w:marBottom w:val="0"/>
      <w:divBdr>
        <w:top w:val="none" w:sz="0" w:space="0" w:color="auto"/>
        <w:left w:val="none" w:sz="0" w:space="0" w:color="auto"/>
        <w:bottom w:val="none" w:sz="0" w:space="0" w:color="auto"/>
        <w:right w:val="none" w:sz="0" w:space="0" w:color="auto"/>
      </w:divBdr>
    </w:div>
    <w:div w:id="2080975215">
      <w:bodyDiv w:val="1"/>
      <w:marLeft w:val="0"/>
      <w:marRight w:val="0"/>
      <w:marTop w:val="0"/>
      <w:marBottom w:val="0"/>
      <w:divBdr>
        <w:top w:val="none" w:sz="0" w:space="0" w:color="auto"/>
        <w:left w:val="none" w:sz="0" w:space="0" w:color="auto"/>
        <w:bottom w:val="none" w:sz="0" w:space="0" w:color="auto"/>
        <w:right w:val="none" w:sz="0" w:space="0" w:color="auto"/>
      </w:divBdr>
    </w:div>
    <w:div w:id="2107652495">
      <w:bodyDiv w:val="1"/>
      <w:marLeft w:val="0"/>
      <w:marRight w:val="0"/>
      <w:marTop w:val="0"/>
      <w:marBottom w:val="0"/>
      <w:divBdr>
        <w:top w:val="none" w:sz="0" w:space="0" w:color="auto"/>
        <w:left w:val="none" w:sz="0" w:space="0" w:color="auto"/>
        <w:bottom w:val="none" w:sz="0" w:space="0" w:color="auto"/>
        <w:right w:val="none" w:sz="0" w:space="0" w:color="auto"/>
      </w:divBdr>
    </w:div>
    <w:div w:id="213189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viationandclimate.com" TargetMode="External"/><Relationship Id="rId18" Type="http://schemas.openxmlformats.org/officeDocument/2006/relationships/image" Target="media/image2.jpeg"/><Relationship Id="rId26" Type="http://schemas.openxmlformats.org/officeDocument/2006/relationships/hyperlink" Target="http://www.iata.org/publications/airlines-international/august-2010/Pages/06.aspx" TargetMode="External"/><Relationship Id="rId39" Type="http://schemas.openxmlformats.org/officeDocument/2006/relationships/hyperlink" Target="http://www.youtube.com/watch?v=XK7sDet8fzw" TargetMode="External"/><Relationship Id="rId3" Type="http://schemas.openxmlformats.org/officeDocument/2006/relationships/styles" Target="styles.xml"/><Relationship Id="rId21" Type="http://schemas.openxmlformats.org/officeDocument/2006/relationships/hyperlink" Target="http://www.acare4europe.org/" TargetMode="External"/><Relationship Id="rId34" Type="http://schemas.openxmlformats.org/officeDocument/2006/relationships/hyperlink" Target="http://srren.ipcc-wg3.de/report" TargetMode="External"/><Relationship Id="rId42" Type="http://schemas.openxmlformats.org/officeDocument/2006/relationships/hyperlink" Target="http://www.railteam.co.uk/high-speed-travel/sustainable-travel-through-europe/" TargetMode="External"/><Relationship Id="rId47" Type="http://schemas.openxmlformats.org/officeDocument/2006/relationships/hyperlink" Target="http://climatechange.worldbank.org/content/climate-change-report-warns-dramatically-warmer-world-century"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oekomstluchtvaart.nl" TargetMode="External"/><Relationship Id="rId17" Type="http://schemas.openxmlformats.org/officeDocument/2006/relationships/hyperlink" Target="http://www.youtube.com/watch?v=XK7sDet8fzw" TargetMode="External"/><Relationship Id="rId25" Type="http://schemas.openxmlformats.org/officeDocument/2006/relationships/hyperlink" Target="http://www.icao.int/Meetings/EnvironmentalColloquium/Documents/2007-Colloquium/Fahey.pdf" TargetMode="External"/><Relationship Id="rId33" Type="http://schemas.openxmlformats.org/officeDocument/2006/relationships/hyperlink" Target="http://www.ipcc.ch/pdf/assessment-report/ar4/wg3/ar4-wg3-chapter5.pdf" TargetMode="External"/><Relationship Id="rId38" Type="http://schemas.openxmlformats.org/officeDocument/2006/relationships/hyperlink" Target="http://www.cate.mmu.ac.uk/people/professor-david-lee/" TargetMode="External"/><Relationship Id="rId46" Type="http://schemas.openxmlformats.org/officeDocument/2006/relationships/hyperlink" Target="http://www.guardian.co.uk/environment/2013/jan/27/nicholas-stern-climate-change-davos" TargetMode="External"/><Relationship Id="rId2" Type="http://schemas.openxmlformats.org/officeDocument/2006/relationships/numbering" Target="numbering.xml"/><Relationship Id="rId16" Type="http://schemas.openxmlformats.org/officeDocument/2006/relationships/hyperlink" Target="http://www.toekomstluchtvaart.nl" TargetMode="External"/><Relationship Id="rId20" Type="http://schemas.openxmlformats.org/officeDocument/2006/relationships/footer" Target="footer1.xml"/><Relationship Id="rId29" Type="http://schemas.openxmlformats.org/officeDocument/2006/relationships/hyperlink" Target="http://www.iea.org/publications/freepublications/publication/biofuels_roadmap.pdf" TargetMode="External"/><Relationship Id="rId41" Type="http://schemas.openxmlformats.org/officeDocument/2006/relationships/hyperlink" Target="http://www.transportenvironment.org/sites/default/files/docs/Publications/2005pubs/2005-12_nlr_aviation_fuel_efficien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ekomstluchtvaart.nl" TargetMode="External"/><Relationship Id="rId24" Type="http://schemas.openxmlformats.org/officeDocument/2006/relationships/hyperlink" Target="http://www.ce.nl/publicatie/hoe_groen_kunnen_we_vliegen/949" TargetMode="External"/><Relationship Id="rId32" Type="http://schemas.openxmlformats.org/officeDocument/2006/relationships/hyperlink" Target="http://www.ipcc.ch/pdf/assessment-report/ar4/wg1/ar4-wg1-chapter10.pdf" TargetMode="External"/><Relationship Id="rId37" Type="http://schemas.openxmlformats.org/officeDocument/2006/relationships/hyperlink" Target="http://www.transportenvironment.org/sites/te/files/media/David_Lee_presentation.pdf" TargetMode="External"/><Relationship Id="rId40" Type="http://schemas.openxmlformats.org/officeDocument/2006/relationships/hyperlink" Target="http://www.duurzameluchtvaart.nl/" TargetMode="External"/><Relationship Id="rId45" Type="http://schemas.openxmlformats.org/officeDocument/2006/relationships/hyperlink" Target="http://www.guardian.co.uk/business/davos" TargetMode="External"/><Relationship Id="rId5" Type="http://schemas.openxmlformats.org/officeDocument/2006/relationships/webSettings" Target="webSettings.xml"/><Relationship Id="rId15" Type="http://schemas.openxmlformats.org/officeDocument/2006/relationships/hyperlink" Target="mailto:discussion@aviationandclimate.com" TargetMode="External"/><Relationship Id="rId23" Type="http://schemas.openxmlformats.org/officeDocument/2006/relationships/hyperlink" Target="http://www.aviationweek.com/Article.aspx?id=/article-xml/AW_07_16_2012_p31-475986.xml" TargetMode="External"/><Relationship Id="rId28" Type="http://schemas.openxmlformats.org/officeDocument/2006/relationships/hyperlink" Target="http://www.icao.int/safety/pbn/PBN%20references/Assembly%20Resolution%2037-11_%20PBN%20global%20goals.pdf" TargetMode="External"/><Relationship Id="rId36" Type="http://schemas.openxmlformats.org/officeDocument/2006/relationships/hyperlink" Target="http://www.tiaca.org/images/tiaca/PDF/IndustryAffairs/2009%20IPCC%20authors%20update.pdf" TargetMode="External"/><Relationship Id="rId49" Type="http://schemas.openxmlformats.org/officeDocument/2006/relationships/header" Target="header3.xml"/><Relationship Id="rId10" Type="http://schemas.openxmlformats.org/officeDocument/2006/relationships/hyperlink" Target="http://www.toekomstluchtvaart.nl" TargetMode="External"/><Relationship Id="rId19" Type="http://schemas.openxmlformats.org/officeDocument/2006/relationships/header" Target="header2.xml"/><Relationship Id="rId31" Type="http://schemas.openxmlformats.org/officeDocument/2006/relationships/hyperlink" Target="http://www.ipcc.ch/ipccreports/sres/aviation/index.htm" TargetMode="External"/><Relationship Id="rId44" Type="http://schemas.openxmlformats.org/officeDocument/2006/relationships/hyperlink" Target="http://www.schiphol.nl/B2B/Cargo/CargoNews2/2011TrafficReviewAvailable.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erkgroep@toekomstluchtvaart.nl" TargetMode="External"/><Relationship Id="rId22" Type="http://schemas.openxmlformats.org/officeDocument/2006/relationships/hyperlink" Target="http://www.ce.nl/publicatie/the_economics_of_heathrow_expansion/742" TargetMode="External"/><Relationship Id="rId27" Type="http://schemas.openxmlformats.org/officeDocument/2006/relationships/hyperlink" Target="http://legacy.icao.int/env/aee.htm" TargetMode="External"/><Relationship Id="rId30" Type="http://schemas.openxmlformats.org/officeDocument/2006/relationships/hyperlink" Target="http://www.imf.org/external/pubs/ft/wp/2012/wp12109.pdf" TargetMode="External"/><Relationship Id="rId35" Type="http://schemas.openxmlformats.org/officeDocument/2006/relationships/hyperlink" Target="http://www.withouthotair.com/" TargetMode="External"/><Relationship Id="rId43" Type="http://schemas.openxmlformats.org/officeDocument/2006/relationships/hyperlink" Target="http://docserver.ingentaconnect.com/deliver/connect/schweiz/09412948/v14n4/s13.pdf?expires=1357224145&amp;id=72246027&amp;titleid=1292&amp;accname=Guest+User&amp;checksum=AAFEF8FE6E17D312734CE99F14E01FEE" TargetMode="External"/><Relationship Id="rId48" Type="http://schemas.openxmlformats.org/officeDocument/2006/relationships/image" Target="media/image3.jpeg"/><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76DCC-429E-4D64-BCD7-AFA945DB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4992</Words>
  <Characters>27458</Characters>
  <Application>Microsoft Office Word</Application>
  <DocSecurity>0</DocSecurity>
  <Lines>228</Lines>
  <Paragraphs>64</Paragraphs>
  <ScaleCrop>false</ScaleCrop>
  <HeadingPairs>
    <vt:vector size="2" baseType="variant">
      <vt:variant>
        <vt:lpstr>Titel</vt:lpstr>
      </vt:variant>
      <vt:variant>
        <vt:i4>1</vt:i4>
      </vt:variant>
    </vt:vector>
  </HeadingPairs>
  <TitlesOfParts>
    <vt:vector size="1" baseType="lpstr">
      <vt:lpstr/>
    </vt:vector>
  </TitlesOfParts>
  <Company>Buurma BV</Company>
  <LinksUpToDate>false</LinksUpToDate>
  <CharactersWithSpaces>32386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H.Buurma</dc:creator>
  <cp:lastModifiedBy>Bernard Gerard</cp:lastModifiedBy>
  <cp:revision>2</cp:revision>
  <cp:lastPrinted>2013-03-01T11:38:00Z</cp:lastPrinted>
  <dcterms:created xsi:type="dcterms:W3CDTF">2013-03-01T11:39:00Z</dcterms:created>
  <dcterms:modified xsi:type="dcterms:W3CDTF">2013-03-01T11:39:00Z</dcterms:modified>
</cp:coreProperties>
</file>